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F3D5" w14:textId="77777777" w:rsidR="006712B7" w:rsidRDefault="006712B7" w:rsidP="006712B7">
      <w:pPr>
        <w:pStyle w:val="Heading1"/>
      </w:pPr>
      <w:bookmarkStart w:id="0" w:name="_Toc127801067"/>
      <w:r>
        <w:t>Default Market Offer</w:t>
      </w:r>
    </w:p>
    <w:p w14:paraId="74EE0506" w14:textId="77777777" w:rsidR="006712B7" w:rsidRDefault="006712B7" w:rsidP="006712B7">
      <w:pPr>
        <w:pStyle w:val="Heading1"/>
      </w:pPr>
      <w:r>
        <w:t>Post-review consultation</w:t>
      </w:r>
    </w:p>
    <w:p w14:paraId="46027587" w14:textId="77777777" w:rsidR="00520026" w:rsidRPr="00520026" w:rsidRDefault="00520026" w:rsidP="00520026"/>
    <w:p w14:paraId="122B51A3" w14:textId="77777777" w:rsidR="006712B7" w:rsidRPr="00520026" w:rsidRDefault="006712B7" w:rsidP="00520026"/>
    <w:p w14:paraId="4D5E9756" w14:textId="6A439E6E" w:rsidR="006712B7" w:rsidRDefault="006712B7" w:rsidP="006712B7">
      <w:pPr>
        <w:pStyle w:val="Subtitle"/>
      </w:pPr>
      <w:r>
        <w:t>Implementation of the 2022 review outcomes of the Competition and Consumer (Industry Code – Electricity Retail) Regulations 2019</w:t>
      </w:r>
    </w:p>
    <w:bookmarkEnd w:id="0"/>
    <w:p w14:paraId="69B63839" w14:textId="7B433186" w:rsidR="006712B7" w:rsidRDefault="006712B7" w:rsidP="006712B7">
      <w:pPr>
        <w:pStyle w:val="AuthorOrganisationAffiliation"/>
        <w:tabs>
          <w:tab w:val="left" w:pos="5475"/>
        </w:tabs>
      </w:pPr>
      <w:r>
        <w:tab/>
      </w:r>
    </w:p>
    <w:p w14:paraId="6F108F85" w14:textId="77777777" w:rsidR="006712B7" w:rsidRDefault="006712B7" w:rsidP="006712B7"/>
    <w:p w14:paraId="695ECEEF" w14:textId="29D69242" w:rsidR="006712B7" w:rsidRPr="006712B7" w:rsidRDefault="006712B7" w:rsidP="006712B7"/>
    <w:p w14:paraId="278C24CA" w14:textId="466C3462" w:rsidR="00764D6A" w:rsidRPr="006712B7" w:rsidRDefault="006712B7" w:rsidP="006712B7">
      <w:pPr>
        <w:tabs>
          <w:tab w:val="left" w:pos="8370"/>
        </w:tabs>
      </w:pPr>
      <w:r>
        <w:tab/>
      </w:r>
    </w:p>
    <w:p w14:paraId="21FB34AC" w14:textId="40227160" w:rsidR="00764D6A" w:rsidRPr="005D3790" w:rsidRDefault="00764D6A" w:rsidP="005D3790"/>
    <w:p w14:paraId="3D205F89" w14:textId="673D2EF2" w:rsidR="00764D6A" w:rsidRDefault="006712B7">
      <w:pPr>
        <w:pStyle w:val="Normalsmall"/>
      </w:pPr>
      <w:r w:rsidRPr="00FB253D">
        <w:rPr>
          <w:noProof/>
          <w:lang w:eastAsia="en-AU"/>
        </w:rPr>
        <w:drawing>
          <wp:inline distT="0" distB="0" distL="0" distR="0" wp14:anchorId="3C51C23B" wp14:editId="25C08B91">
            <wp:extent cx="5731510" cy="859790"/>
            <wp:effectExtent l="0" t="0" r="2540" b="0"/>
            <wp:docPr id="14" name="Picture 14" title="Image of stylised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ultation Hub Banner D4.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859790"/>
                    </a:xfrm>
                    <a:prstGeom prst="rect">
                      <a:avLst/>
                    </a:prstGeom>
                  </pic:spPr>
                </pic:pic>
              </a:graphicData>
            </a:graphic>
          </wp:inline>
        </w:drawing>
      </w:r>
      <w:r w:rsidR="00E91D72">
        <w:br w:type="page"/>
      </w:r>
      <w:r w:rsidR="00E91D72">
        <w:lastRenderedPageBreak/>
        <w:t xml:space="preserve">© Commonwealth of Australia </w:t>
      </w:r>
      <w:r w:rsidR="00B97E61">
        <w:t>202</w:t>
      </w:r>
      <w:r w:rsidR="00043E15">
        <w:t>3</w:t>
      </w:r>
    </w:p>
    <w:p w14:paraId="1DFDD553" w14:textId="77777777" w:rsidR="00764D6A" w:rsidRDefault="00E91D72">
      <w:pPr>
        <w:pStyle w:val="Normalsmall"/>
        <w:rPr>
          <w:rStyle w:val="Strong"/>
        </w:rPr>
      </w:pPr>
      <w:r>
        <w:rPr>
          <w:rStyle w:val="Strong"/>
        </w:rPr>
        <w:t>Ownership of intellectual property rights</w:t>
      </w:r>
    </w:p>
    <w:p w14:paraId="2DEDA0BA"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03BD5AB" w14:textId="77777777" w:rsidR="00764D6A" w:rsidRDefault="00E91D72">
      <w:pPr>
        <w:pStyle w:val="Normalsmall"/>
        <w:rPr>
          <w:rStyle w:val="Strong"/>
        </w:rPr>
      </w:pPr>
      <w:r>
        <w:rPr>
          <w:rStyle w:val="Strong"/>
        </w:rPr>
        <w:t>Creative Commons licence</w:t>
      </w:r>
    </w:p>
    <w:p w14:paraId="6280A948"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7CEB16C7" w14:textId="77777777" w:rsidR="00764D6A" w:rsidRPr="00364A4A" w:rsidRDefault="00E91D72">
      <w:pPr>
        <w:pStyle w:val="Normalsmall"/>
      </w:pPr>
      <w:r>
        <w:t xml:space="preserve">Inquiries about the licence and any use of this document should be </w:t>
      </w:r>
      <w:r w:rsidRPr="00364A4A">
        <w:t xml:space="preserve">emailed to </w:t>
      </w:r>
      <w:hyperlink r:id="rId14" w:history="1">
        <w:r w:rsidR="00D86640">
          <w:rPr>
            <w:rStyle w:val="Hyperlink"/>
          </w:rPr>
          <w:t>copyright@dcceew.gov.au</w:t>
        </w:r>
      </w:hyperlink>
      <w:r w:rsidRPr="00364A4A">
        <w:t>.</w:t>
      </w:r>
    </w:p>
    <w:p w14:paraId="61D5D883" w14:textId="77777777" w:rsidR="00764D6A" w:rsidRPr="00364A4A" w:rsidRDefault="00E91D72">
      <w:pPr>
        <w:pStyle w:val="Normalsmall"/>
      </w:pPr>
      <w:r w:rsidRPr="00364A4A">
        <w:rPr>
          <w:noProof/>
          <w:lang w:eastAsia="en-AU"/>
        </w:rPr>
        <w:drawing>
          <wp:inline distT="0" distB="0" distL="0" distR="0" wp14:anchorId="1D3220C0" wp14:editId="271F17A7">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DFFC1E" w14:textId="77777777" w:rsidR="00764D6A" w:rsidRPr="00364A4A" w:rsidRDefault="00E91D72">
      <w:pPr>
        <w:pStyle w:val="Normalsmall"/>
        <w:rPr>
          <w:rStyle w:val="Strong"/>
        </w:rPr>
      </w:pPr>
      <w:r w:rsidRPr="00364A4A">
        <w:rPr>
          <w:rStyle w:val="Strong"/>
        </w:rPr>
        <w:t>Cataloguing data</w:t>
      </w:r>
    </w:p>
    <w:p w14:paraId="0ECE2679" w14:textId="18977F9A" w:rsidR="006712B7" w:rsidRPr="006712B7" w:rsidRDefault="00E91D72" w:rsidP="006712B7">
      <w:pPr>
        <w:pStyle w:val="Normalsmall"/>
        <w:rPr>
          <w:i/>
        </w:rPr>
      </w:pPr>
      <w:r w:rsidRPr="00364A4A">
        <w:t xml:space="preserve">This publication (and any material sourced from it) should be </w:t>
      </w:r>
      <w:r w:rsidRPr="006712B7">
        <w:t xml:space="preserve">attributed as: </w:t>
      </w:r>
      <w:r w:rsidR="009D5007" w:rsidRPr="006712B7">
        <w:t>D</w:t>
      </w:r>
      <w:r w:rsidR="000F2194" w:rsidRPr="006712B7">
        <w:t>CCEEW</w:t>
      </w:r>
      <w:r w:rsidR="00B97E61" w:rsidRPr="006712B7">
        <w:t xml:space="preserve"> 202</w:t>
      </w:r>
      <w:r w:rsidR="00043E15">
        <w:t>3</w:t>
      </w:r>
      <w:r w:rsidRPr="006712B7">
        <w:t xml:space="preserve">, </w:t>
      </w:r>
      <w:r w:rsidR="006712B7" w:rsidRPr="006712B7">
        <w:rPr>
          <w:i/>
        </w:rPr>
        <w:t>Default Market Offer</w:t>
      </w:r>
    </w:p>
    <w:p w14:paraId="22D805A2" w14:textId="3351BC96" w:rsidR="00764D6A" w:rsidRDefault="006712B7" w:rsidP="006712B7">
      <w:pPr>
        <w:pStyle w:val="Normalsmall"/>
      </w:pPr>
      <w:r w:rsidRPr="006712B7">
        <w:rPr>
          <w:i/>
        </w:rPr>
        <w:t>Post-review consultation</w:t>
      </w:r>
      <w:r w:rsidR="00E91D72">
        <w:t xml:space="preserve">, </w:t>
      </w:r>
      <w:r w:rsidR="006F065B" w:rsidRPr="006F065B">
        <w:t>Department of Climate Change, Energy, the Environment and Water</w:t>
      </w:r>
      <w:r>
        <w:t>, Canberra.</w:t>
      </w:r>
      <w:r w:rsidR="00E91D72">
        <w:t xml:space="preserve"> </w:t>
      </w:r>
    </w:p>
    <w:p w14:paraId="09F94446" w14:textId="77777777" w:rsidR="00DE0AAE" w:rsidRDefault="00D86640">
      <w:pPr>
        <w:pStyle w:val="Normalsmall"/>
        <w:spacing w:after="0"/>
      </w:pPr>
      <w:r w:rsidRPr="00D86640">
        <w:t>Department of Climate Change, Energy, the Environment and Water</w:t>
      </w:r>
    </w:p>
    <w:p w14:paraId="3ABCE44F"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7B8F6AFC" w14:textId="77777777" w:rsidR="00764D6A" w:rsidRPr="00364A4A" w:rsidRDefault="00E91D72">
      <w:pPr>
        <w:pStyle w:val="Normalsmall"/>
        <w:spacing w:after="0"/>
      </w:pPr>
      <w:r w:rsidRPr="00364A4A">
        <w:t>Telephone 1800 900 090</w:t>
      </w:r>
    </w:p>
    <w:p w14:paraId="48083FE8" w14:textId="77777777" w:rsidR="00764D6A" w:rsidRPr="00364A4A" w:rsidRDefault="00E91D72">
      <w:pPr>
        <w:pStyle w:val="Normalsmall"/>
      </w:pPr>
      <w:bookmarkStart w:id="1" w:name="_Hlk108621036"/>
      <w:r w:rsidRPr="00364A4A">
        <w:t xml:space="preserve">Web </w:t>
      </w:r>
      <w:hyperlink r:id="rId16" w:history="1">
        <w:r w:rsidR="00D86640">
          <w:rPr>
            <w:rStyle w:val="Hyperlink"/>
          </w:rPr>
          <w:t>dcceew.gov.au</w:t>
        </w:r>
      </w:hyperlink>
    </w:p>
    <w:bookmarkEnd w:id="1"/>
    <w:p w14:paraId="7F887295" w14:textId="77777777" w:rsidR="007C358A" w:rsidRDefault="007C358A">
      <w:pPr>
        <w:pStyle w:val="Normalsmall"/>
      </w:pPr>
      <w:r w:rsidRPr="00364A4A">
        <w:rPr>
          <w:rStyle w:val="Strong"/>
        </w:rPr>
        <w:t>Disclaimer</w:t>
      </w:r>
    </w:p>
    <w:p w14:paraId="30A0AD06"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1F1A926D" w14:textId="77777777" w:rsidR="00764D6A" w:rsidRPr="006712B7" w:rsidRDefault="00E91D72">
      <w:pPr>
        <w:pStyle w:val="Normalsmall"/>
        <w:rPr>
          <w:rStyle w:val="Strong"/>
        </w:rPr>
      </w:pPr>
      <w:r w:rsidRPr="006712B7">
        <w:rPr>
          <w:rStyle w:val="Strong"/>
        </w:rPr>
        <w:t>Acknowledgements</w:t>
      </w:r>
    </w:p>
    <w:p w14:paraId="597031DE" w14:textId="10551DE6" w:rsidR="00764D6A" w:rsidRDefault="00E91D72">
      <w:pPr>
        <w:pStyle w:val="Normalsmall"/>
      </w:pPr>
      <w:r w:rsidRPr="006712B7">
        <w:t>The authors thank interview and survey</w:t>
      </w:r>
      <w:r w:rsidR="006712B7" w:rsidRPr="006712B7">
        <w:t xml:space="preserve"> participants for their input. </w:t>
      </w:r>
    </w:p>
    <w:p w14:paraId="4035FC6C" w14:textId="77777777" w:rsidR="00B02B9B" w:rsidRDefault="00B02B9B" w:rsidP="00B02B9B">
      <w:pPr>
        <w:pStyle w:val="Normalsmall"/>
      </w:pPr>
      <w:r>
        <w:rPr>
          <w:rStyle w:val="Strong"/>
        </w:rPr>
        <w:t>Acknowledgement of Country</w:t>
      </w:r>
    </w:p>
    <w:p w14:paraId="72218EDA" w14:textId="77777777" w:rsidR="00517A68" w:rsidRDefault="00D07F7D" w:rsidP="00F448C4">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01D97C12"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0F7971DE" w14:textId="39E2720A" w:rsidR="00764D6A" w:rsidRDefault="00E91D72">
          <w:pPr>
            <w:pStyle w:val="TOCHeading"/>
          </w:pPr>
          <w:r>
            <w:t>Contents</w:t>
          </w:r>
        </w:p>
        <w:p w14:paraId="15D108B8" w14:textId="2F5335DC" w:rsidR="000337F3" w:rsidRDefault="00E91D72">
          <w:pPr>
            <w:pStyle w:val="TOC1"/>
            <w:rPr>
              <w:rFonts w:eastAsiaTheme="minorEastAsia"/>
              <w:b w:val="0"/>
              <w:lang w:eastAsia="en-AU"/>
            </w:rPr>
          </w:pPr>
          <w:r>
            <w:rPr>
              <w:b w:val="0"/>
            </w:rPr>
            <w:fldChar w:fldCharType="begin"/>
          </w:r>
          <w:r>
            <w:instrText xml:space="preserve"> TOC \h \z \u \t "Heading 2,1,Heading 3,2,Style1,2,TOA Heading,1" </w:instrText>
          </w:r>
          <w:r>
            <w:rPr>
              <w:b w:val="0"/>
            </w:rPr>
            <w:fldChar w:fldCharType="separate"/>
          </w:r>
          <w:hyperlink w:anchor="_Toc130478606" w:history="1">
            <w:r w:rsidR="000337F3" w:rsidRPr="007D2447">
              <w:rPr>
                <w:rStyle w:val="Hyperlink"/>
              </w:rPr>
              <w:t>1</w:t>
            </w:r>
            <w:r w:rsidR="000337F3">
              <w:rPr>
                <w:rFonts w:eastAsiaTheme="minorEastAsia"/>
                <w:b w:val="0"/>
                <w:lang w:eastAsia="en-AU"/>
              </w:rPr>
              <w:tab/>
            </w:r>
            <w:r w:rsidR="000337F3" w:rsidRPr="007D2447">
              <w:rPr>
                <w:rStyle w:val="Hyperlink"/>
              </w:rPr>
              <w:t>About this paper</w:t>
            </w:r>
            <w:r w:rsidR="000337F3">
              <w:rPr>
                <w:webHidden/>
              </w:rPr>
              <w:tab/>
            </w:r>
            <w:r w:rsidR="000337F3">
              <w:rPr>
                <w:webHidden/>
              </w:rPr>
              <w:fldChar w:fldCharType="begin"/>
            </w:r>
            <w:r w:rsidR="000337F3">
              <w:rPr>
                <w:webHidden/>
              </w:rPr>
              <w:instrText xml:space="preserve"> PAGEREF _Toc130478606 \h </w:instrText>
            </w:r>
            <w:r w:rsidR="000337F3">
              <w:rPr>
                <w:webHidden/>
              </w:rPr>
            </w:r>
            <w:r w:rsidR="000337F3">
              <w:rPr>
                <w:webHidden/>
              </w:rPr>
              <w:fldChar w:fldCharType="separate"/>
            </w:r>
            <w:r w:rsidR="00CB152E">
              <w:rPr>
                <w:webHidden/>
              </w:rPr>
              <w:t>4</w:t>
            </w:r>
            <w:r w:rsidR="000337F3">
              <w:rPr>
                <w:webHidden/>
              </w:rPr>
              <w:fldChar w:fldCharType="end"/>
            </w:r>
          </w:hyperlink>
        </w:p>
        <w:p w14:paraId="0F482FAC" w14:textId="20C164A8" w:rsidR="000337F3" w:rsidRDefault="00000000">
          <w:pPr>
            <w:pStyle w:val="TOC1"/>
            <w:rPr>
              <w:rFonts w:eastAsiaTheme="minorEastAsia"/>
              <w:b w:val="0"/>
              <w:lang w:eastAsia="en-AU"/>
            </w:rPr>
          </w:pPr>
          <w:hyperlink w:anchor="_Toc130478607" w:history="1">
            <w:r w:rsidR="000337F3" w:rsidRPr="007D2447">
              <w:rPr>
                <w:rStyle w:val="Hyperlink"/>
              </w:rPr>
              <w:t>2</w:t>
            </w:r>
            <w:r w:rsidR="000337F3">
              <w:rPr>
                <w:rFonts w:eastAsiaTheme="minorEastAsia"/>
                <w:b w:val="0"/>
                <w:lang w:eastAsia="en-AU"/>
              </w:rPr>
              <w:tab/>
            </w:r>
            <w:r w:rsidR="000337F3" w:rsidRPr="007D2447">
              <w:rPr>
                <w:rStyle w:val="Hyperlink"/>
              </w:rPr>
              <w:t>Introduction</w:t>
            </w:r>
            <w:r w:rsidR="000337F3">
              <w:rPr>
                <w:webHidden/>
              </w:rPr>
              <w:tab/>
            </w:r>
            <w:r w:rsidR="000337F3">
              <w:rPr>
                <w:webHidden/>
              </w:rPr>
              <w:fldChar w:fldCharType="begin"/>
            </w:r>
            <w:r w:rsidR="000337F3">
              <w:rPr>
                <w:webHidden/>
              </w:rPr>
              <w:instrText xml:space="preserve"> PAGEREF _Toc130478607 \h </w:instrText>
            </w:r>
            <w:r w:rsidR="000337F3">
              <w:rPr>
                <w:webHidden/>
              </w:rPr>
            </w:r>
            <w:r w:rsidR="000337F3">
              <w:rPr>
                <w:webHidden/>
              </w:rPr>
              <w:fldChar w:fldCharType="separate"/>
            </w:r>
            <w:r w:rsidR="00CB152E">
              <w:rPr>
                <w:webHidden/>
              </w:rPr>
              <w:t>5</w:t>
            </w:r>
            <w:r w:rsidR="000337F3">
              <w:rPr>
                <w:webHidden/>
              </w:rPr>
              <w:fldChar w:fldCharType="end"/>
            </w:r>
          </w:hyperlink>
        </w:p>
        <w:p w14:paraId="5F598F22" w14:textId="353DC953" w:rsidR="000337F3" w:rsidRDefault="00000000">
          <w:pPr>
            <w:pStyle w:val="TOC2"/>
            <w:tabs>
              <w:tab w:val="left" w:pos="1100"/>
            </w:tabs>
            <w:rPr>
              <w:rFonts w:eastAsiaTheme="minorEastAsia"/>
              <w:lang w:eastAsia="en-AU"/>
            </w:rPr>
          </w:pPr>
          <w:hyperlink w:anchor="_Toc130478608" w:history="1">
            <w:r w:rsidR="000337F3" w:rsidRPr="007D2447">
              <w:rPr>
                <w:rStyle w:val="Hyperlink"/>
              </w:rPr>
              <w:t>2.1</w:t>
            </w:r>
            <w:r w:rsidR="000337F3">
              <w:rPr>
                <w:rFonts w:eastAsiaTheme="minorEastAsia"/>
                <w:lang w:eastAsia="en-AU"/>
              </w:rPr>
              <w:tab/>
            </w:r>
            <w:r w:rsidR="000337F3" w:rsidRPr="007D2447">
              <w:rPr>
                <w:rStyle w:val="Hyperlink"/>
              </w:rPr>
              <w:t>Overview of the Code</w:t>
            </w:r>
            <w:r w:rsidR="000337F3">
              <w:rPr>
                <w:webHidden/>
              </w:rPr>
              <w:tab/>
            </w:r>
            <w:r w:rsidR="000337F3">
              <w:rPr>
                <w:webHidden/>
              </w:rPr>
              <w:fldChar w:fldCharType="begin"/>
            </w:r>
            <w:r w:rsidR="000337F3">
              <w:rPr>
                <w:webHidden/>
              </w:rPr>
              <w:instrText xml:space="preserve"> PAGEREF _Toc130478608 \h </w:instrText>
            </w:r>
            <w:r w:rsidR="000337F3">
              <w:rPr>
                <w:webHidden/>
              </w:rPr>
            </w:r>
            <w:r w:rsidR="000337F3">
              <w:rPr>
                <w:webHidden/>
              </w:rPr>
              <w:fldChar w:fldCharType="separate"/>
            </w:r>
            <w:r w:rsidR="00CB152E">
              <w:rPr>
                <w:webHidden/>
              </w:rPr>
              <w:t>5</w:t>
            </w:r>
            <w:r w:rsidR="000337F3">
              <w:rPr>
                <w:webHidden/>
              </w:rPr>
              <w:fldChar w:fldCharType="end"/>
            </w:r>
          </w:hyperlink>
        </w:p>
        <w:p w14:paraId="09D4E74B" w14:textId="16CCB030" w:rsidR="000337F3" w:rsidRDefault="00000000">
          <w:pPr>
            <w:pStyle w:val="TOC1"/>
            <w:rPr>
              <w:rFonts w:eastAsiaTheme="minorEastAsia"/>
              <w:b w:val="0"/>
              <w:lang w:eastAsia="en-AU"/>
            </w:rPr>
          </w:pPr>
          <w:hyperlink w:anchor="_Toc130478609" w:history="1">
            <w:r w:rsidR="000337F3" w:rsidRPr="007D2447">
              <w:rPr>
                <w:rStyle w:val="Hyperlink"/>
              </w:rPr>
              <w:t>3</w:t>
            </w:r>
            <w:r w:rsidR="000337F3">
              <w:rPr>
                <w:rFonts w:eastAsiaTheme="minorEastAsia"/>
                <w:b w:val="0"/>
                <w:lang w:eastAsia="en-AU"/>
              </w:rPr>
              <w:tab/>
            </w:r>
            <w:r w:rsidR="000337F3" w:rsidRPr="007D2447">
              <w:rPr>
                <w:rStyle w:val="Hyperlink"/>
              </w:rPr>
              <w:t>Application of the Reference Price to complex offers</w:t>
            </w:r>
            <w:r w:rsidR="000337F3">
              <w:rPr>
                <w:webHidden/>
              </w:rPr>
              <w:tab/>
            </w:r>
            <w:r w:rsidR="000337F3">
              <w:rPr>
                <w:webHidden/>
              </w:rPr>
              <w:fldChar w:fldCharType="begin"/>
            </w:r>
            <w:r w:rsidR="000337F3">
              <w:rPr>
                <w:webHidden/>
              </w:rPr>
              <w:instrText xml:space="preserve"> PAGEREF _Toc130478609 \h </w:instrText>
            </w:r>
            <w:r w:rsidR="000337F3">
              <w:rPr>
                <w:webHidden/>
              </w:rPr>
            </w:r>
            <w:r w:rsidR="000337F3">
              <w:rPr>
                <w:webHidden/>
              </w:rPr>
              <w:fldChar w:fldCharType="separate"/>
            </w:r>
            <w:r w:rsidR="00CB152E">
              <w:rPr>
                <w:webHidden/>
              </w:rPr>
              <w:t>7</w:t>
            </w:r>
            <w:r w:rsidR="000337F3">
              <w:rPr>
                <w:webHidden/>
              </w:rPr>
              <w:fldChar w:fldCharType="end"/>
            </w:r>
          </w:hyperlink>
        </w:p>
        <w:p w14:paraId="47B9D6DA" w14:textId="3D0702BA" w:rsidR="000337F3" w:rsidRDefault="00000000">
          <w:pPr>
            <w:pStyle w:val="TOC2"/>
            <w:tabs>
              <w:tab w:val="left" w:pos="1100"/>
            </w:tabs>
            <w:rPr>
              <w:rFonts w:eastAsiaTheme="minorEastAsia"/>
              <w:lang w:eastAsia="en-AU"/>
            </w:rPr>
          </w:pPr>
          <w:hyperlink w:anchor="_Toc130478610" w:history="1">
            <w:r w:rsidR="000337F3" w:rsidRPr="007D2447">
              <w:rPr>
                <w:rStyle w:val="Hyperlink"/>
              </w:rPr>
              <w:t>3.1</w:t>
            </w:r>
            <w:r w:rsidR="000337F3">
              <w:rPr>
                <w:rFonts w:eastAsiaTheme="minorEastAsia"/>
                <w:lang w:eastAsia="en-AU"/>
              </w:rPr>
              <w:tab/>
            </w:r>
            <w:r w:rsidR="000337F3" w:rsidRPr="007D2447">
              <w:rPr>
                <w:rStyle w:val="Hyperlink"/>
              </w:rPr>
              <w:t>Directions paper findings</w:t>
            </w:r>
            <w:r w:rsidR="000337F3">
              <w:rPr>
                <w:webHidden/>
              </w:rPr>
              <w:tab/>
            </w:r>
            <w:r w:rsidR="000337F3">
              <w:rPr>
                <w:webHidden/>
              </w:rPr>
              <w:fldChar w:fldCharType="begin"/>
            </w:r>
            <w:r w:rsidR="000337F3">
              <w:rPr>
                <w:webHidden/>
              </w:rPr>
              <w:instrText xml:space="preserve"> PAGEREF _Toc130478610 \h </w:instrText>
            </w:r>
            <w:r w:rsidR="000337F3">
              <w:rPr>
                <w:webHidden/>
              </w:rPr>
            </w:r>
            <w:r w:rsidR="000337F3">
              <w:rPr>
                <w:webHidden/>
              </w:rPr>
              <w:fldChar w:fldCharType="separate"/>
            </w:r>
            <w:r w:rsidR="00CB152E">
              <w:rPr>
                <w:webHidden/>
              </w:rPr>
              <w:t>7</w:t>
            </w:r>
            <w:r w:rsidR="000337F3">
              <w:rPr>
                <w:webHidden/>
              </w:rPr>
              <w:fldChar w:fldCharType="end"/>
            </w:r>
          </w:hyperlink>
        </w:p>
        <w:p w14:paraId="3F744249" w14:textId="1A104C8B" w:rsidR="000337F3" w:rsidRDefault="00000000">
          <w:pPr>
            <w:pStyle w:val="TOC2"/>
            <w:tabs>
              <w:tab w:val="left" w:pos="1100"/>
            </w:tabs>
            <w:rPr>
              <w:rFonts w:eastAsiaTheme="minorEastAsia"/>
              <w:lang w:eastAsia="en-AU"/>
            </w:rPr>
          </w:pPr>
          <w:hyperlink w:anchor="_Toc130478611" w:history="1">
            <w:r w:rsidR="000337F3" w:rsidRPr="007D2447">
              <w:rPr>
                <w:rStyle w:val="Hyperlink"/>
              </w:rPr>
              <w:t>3.2</w:t>
            </w:r>
            <w:r w:rsidR="000337F3">
              <w:rPr>
                <w:rFonts w:eastAsiaTheme="minorEastAsia"/>
                <w:lang w:eastAsia="en-AU"/>
              </w:rPr>
              <w:tab/>
            </w:r>
            <w:r w:rsidR="000337F3" w:rsidRPr="007D2447">
              <w:rPr>
                <w:rStyle w:val="Hyperlink"/>
              </w:rPr>
              <w:t>Proposed approach</w:t>
            </w:r>
            <w:r w:rsidR="000337F3">
              <w:rPr>
                <w:webHidden/>
              </w:rPr>
              <w:tab/>
            </w:r>
            <w:r w:rsidR="000337F3">
              <w:rPr>
                <w:webHidden/>
              </w:rPr>
              <w:fldChar w:fldCharType="begin"/>
            </w:r>
            <w:r w:rsidR="000337F3">
              <w:rPr>
                <w:webHidden/>
              </w:rPr>
              <w:instrText xml:space="preserve"> PAGEREF _Toc130478611 \h </w:instrText>
            </w:r>
            <w:r w:rsidR="000337F3">
              <w:rPr>
                <w:webHidden/>
              </w:rPr>
            </w:r>
            <w:r w:rsidR="000337F3">
              <w:rPr>
                <w:webHidden/>
              </w:rPr>
              <w:fldChar w:fldCharType="separate"/>
            </w:r>
            <w:r w:rsidR="00CB152E">
              <w:rPr>
                <w:webHidden/>
              </w:rPr>
              <w:t>7</w:t>
            </w:r>
            <w:r w:rsidR="000337F3">
              <w:rPr>
                <w:webHidden/>
              </w:rPr>
              <w:fldChar w:fldCharType="end"/>
            </w:r>
          </w:hyperlink>
        </w:p>
        <w:p w14:paraId="6A1FC33B" w14:textId="23F891A1" w:rsidR="000337F3" w:rsidRDefault="00000000">
          <w:pPr>
            <w:pStyle w:val="TOC1"/>
            <w:rPr>
              <w:rFonts w:eastAsiaTheme="minorEastAsia"/>
              <w:b w:val="0"/>
              <w:lang w:eastAsia="en-AU"/>
            </w:rPr>
          </w:pPr>
          <w:hyperlink w:anchor="_Toc130478612" w:history="1">
            <w:r w:rsidR="000337F3" w:rsidRPr="007D2447">
              <w:rPr>
                <w:rStyle w:val="Hyperlink"/>
              </w:rPr>
              <w:t>4</w:t>
            </w:r>
            <w:r w:rsidR="000337F3">
              <w:rPr>
                <w:rFonts w:eastAsiaTheme="minorEastAsia"/>
                <w:b w:val="0"/>
                <w:lang w:eastAsia="en-AU"/>
              </w:rPr>
              <w:tab/>
            </w:r>
            <w:r w:rsidR="000337F3" w:rsidRPr="007D2447">
              <w:rPr>
                <w:rStyle w:val="Hyperlink"/>
              </w:rPr>
              <w:t>Improving the understanding of the Reference Price for consumers</w:t>
            </w:r>
            <w:r w:rsidR="000337F3">
              <w:rPr>
                <w:webHidden/>
              </w:rPr>
              <w:tab/>
            </w:r>
            <w:r w:rsidR="000337F3">
              <w:rPr>
                <w:webHidden/>
              </w:rPr>
              <w:fldChar w:fldCharType="begin"/>
            </w:r>
            <w:r w:rsidR="000337F3">
              <w:rPr>
                <w:webHidden/>
              </w:rPr>
              <w:instrText xml:space="preserve"> PAGEREF _Toc130478612 \h </w:instrText>
            </w:r>
            <w:r w:rsidR="000337F3">
              <w:rPr>
                <w:webHidden/>
              </w:rPr>
            </w:r>
            <w:r w:rsidR="000337F3">
              <w:rPr>
                <w:webHidden/>
              </w:rPr>
              <w:fldChar w:fldCharType="separate"/>
            </w:r>
            <w:r w:rsidR="00CB152E">
              <w:rPr>
                <w:webHidden/>
              </w:rPr>
              <w:t>9</w:t>
            </w:r>
            <w:r w:rsidR="000337F3">
              <w:rPr>
                <w:webHidden/>
              </w:rPr>
              <w:fldChar w:fldCharType="end"/>
            </w:r>
          </w:hyperlink>
        </w:p>
        <w:p w14:paraId="5F91B108" w14:textId="6376A339" w:rsidR="000337F3" w:rsidRDefault="00000000">
          <w:pPr>
            <w:pStyle w:val="TOC2"/>
            <w:tabs>
              <w:tab w:val="left" w:pos="1100"/>
            </w:tabs>
            <w:rPr>
              <w:rFonts w:eastAsiaTheme="minorEastAsia"/>
              <w:lang w:eastAsia="en-AU"/>
            </w:rPr>
          </w:pPr>
          <w:hyperlink w:anchor="_Toc130478613" w:history="1">
            <w:r w:rsidR="000337F3" w:rsidRPr="007D2447">
              <w:rPr>
                <w:rStyle w:val="Hyperlink"/>
              </w:rPr>
              <w:t>4.1</w:t>
            </w:r>
            <w:r w:rsidR="000337F3">
              <w:rPr>
                <w:rFonts w:eastAsiaTheme="minorEastAsia"/>
                <w:lang w:eastAsia="en-AU"/>
              </w:rPr>
              <w:tab/>
            </w:r>
            <w:r w:rsidR="000337F3" w:rsidRPr="007D2447">
              <w:rPr>
                <w:rStyle w:val="Hyperlink"/>
              </w:rPr>
              <w:t>Directions paper findings</w:t>
            </w:r>
            <w:r w:rsidR="000337F3">
              <w:rPr>
                <w:webHidden/>
              </w:rPr>
              <w:tab/>
            </w:r>
            <w:r w:rsidR="000337F3">
              <w:rPr>
                <w:webHidden/>
              </w:rPr>
              <w:fldChar w:fldCharType="begin"/>
            </w:r>
            <w:r w:rsidR="000337F3">
              <w:rPr>
                <w:webHidden/>
              </w:rPr>
              <w:instrText xml:space="preserve"> PAGEREF _Toc130478613 \h </w:instrText>
            </w:r>
            <w:r w:rsidR="000337F3">
              <w:rPr>
                <w:webHidden/>
              </w:rPr>
            </w:r>
            <w:r w:rsidR="000337F3">
              <w:rPr>
                <w:webHidden/>
              </w:rPr>
              <w:fldChar w:fldCharType="separate"/>
            </w:r>
            <w:r w:rsidR="00CB152E">
              <w:rPr>
                <w:webHidden/>
              </w:rPr>
              <w:t>9</w:t>
            </w:r>
            <w:r w:rsidR="000337F3">
              <w:rPr>
                <w:webHidden/>
              </w:rPr>
              <w:fldChar w:fldCharType="end"/>
            </w:r>
          </w:hyperlink>
        </w:p>
        <w:p w14:paraId="734170BF" w14:textId="6C024718" w:rsidR="000337F3" w:rsidRDefault="00000000">
          <w:pPr>
            <w:pStyle w:val="TOC2"/>
            <w:tabs>
              <w:tab w:val="left" w:pos="1100"/>
            </w:tabs>
            <w:rPr>
              <w:rFonts w:eastAsiaTheme="minorEastAsia"/>
              <w:lang w:eastAsia="en-AU"/>
            </w:rPr>
          </w:pPr>
          <w:hyperlink w:anchor="_Toc130478614" w:history="1">
            <w:r w:rsidR="000337F3" w:rsidRPr="007D2447">
              <w:rPr>
                <w:rStyle w:val="Hyperlink"/>
              </w:rPr>
              <w:t>4.2</w:t>
            </w:r>
            <w:r w:rsidR="000337F3">
              <w:rPr>
                <w:rFonts w:eastAsiaTheme="minorEastAsia"/>
                <w:lang w:eastAsia="en-AU"/>
              </w:rPr>
              <w:tab/>
            </w:r>
            <w:r w:rsidR="000337F3" w:rsidRPr="007D2447">
              <w:rPr>
                <w:rStyle w:val="Hyperlink"/>
              </w:rPr>
              <w:t>Proposed approach</w:t>
            </w:r>
            <w:r w:rsidR="000337F3">
              <w:rPr>
                <w:webHidden/>
              </w:rPr>
              <w:tab/>
            </w:r>
            <w:r w:rsidR="000337F3">
              <w:rPr>
                <w:webHidden/>
              </w:rPr>
              <w:fldChar w:fldCharType="begin"/>
            </w:r>
            <w:r w:rsidR="000337F3">
              <w:rPr>
                <w:webHidden/>
              </w:rPr>
              <w:instrText xml:space="preserve"> PAGEREF _Toc130478614 \h </w:instrText>
            </w:r>
            <w:r w:rsidR="000337F3">
              <w:rPr>
                <w:webHidden/>
              </w:rPr>
            </w:r>
            <w:r w:rsidR="000337F3">
              <w:rPr>
                <w:webHidden/>
              </w:rPr>
              <w:fldChar w:fldCharType="separate"/>
            </w:r>
            <w:r w:rsidR="00CB152E">
              <w:rPr>
                <w:webHidden/>
              </w:rPr>
              <w:t>9</w:t>
            </w:r>
            <w:r w:rsidR="000337F3">
              <w:rPr>
                <w:webHidden/>
              </w:rPr>
              <w:fldChar w:fldCharType="end"/>
            </w:r>
          </w:hyperlink>
        </w:p>
        <w:p w14:paraId="308F3E5B" w14:textId="5C132572" w:rsidR="000337F3" w:rsidRDefault="00000000">
          <w:pPr>
            <w:pStyle w:val="TOC1"/>
            <w:rPr>
              <w:rFonts w:eastAsiaTheme="minorEastAsia"/>
              <w:b w:val="0"/>
              <w:lang w:eastAsia="en-AU"/>
            </w:rPr>
          </w:pPr>
          <w:hyperlink w:anchor="_Toc130478615" w:history="1">
            <w:r w:rsidR="000337F3" w:rsidRPr="007D2447">
              <w:rPr>
                <w:rStyle w:val="Hyperlink"/>
              </w:rPr>
              <w:t>5</w:t>
            </w:r>
            <w:r w:rsidR="000337F3">
              <w:rPr>
                <w:rFonts w:eastAsiaTheme="minorEastAsia"/>
                <w:b w:val="0"/>
                <w:lang w:eastAsia="en-AU"/>
              </w:rPr>
              <w:tab/>
            </w:r>
            <w:r w:rsidR="000337F3" w:rsidRPr="007D2447">
              <w:rPr>
                <w:rStyle w:val="Hyperlink"/>
              </w:rPr>
              <w:t>Embedded network customer pricing protection</w:t>
            </w:r>
            <w:r w:rsidR="000337F3">
              <w:rPr>
                <w:webHidden/>
              </w:rPr>
              <w:tab/>
            </w:r>
            <w:r w:rsidR="000337F3">
              <w:rPr>
                <w:webHidden/>
              </w:rPr>
              <w:fldChar w:fldCharType="begin"/>
            </w:r>
            <w:r w:rsidR="000337F3">
              <w:rPr>
                <w:webHidden/>
              </w:rPr>
              <w:instrText xml:space="preserve"> PAGEREF _Toc130478615 \h </w:instrText>
            </w:r>
            <w:r w:rsidR="000337F3">
              <w:rPr>
                <w:webHidden/>
              </w:rPr>
            </w:r>
            <w:r w:rsidR="000337F3">
              <w:rPr>
                <w:webHidden/>
              </w:rPr>
              <w:fldChar w:fldCharType="separate"/>
            </w:r>
            <w:r w:rsidR="00CB152E">
              <w:rPr>
                <w:webHidden/>
              </w:rPr>
              <w:t>10</w:t>
            </w:r>
            <w:r w:rsidR="000337F3">
              <w:rPr>
                <w:webHidden/>
              </w:rPr>
              <w:fldChar w:fldCharType="end"/>
            </w:r>
          </w:hyperlink>
        </w:p>
        <w:p w14:paraId="0258035A" w14:textId="70927AB8" w:rsidR="000337F3" w:rsidRDefault="00000000">
          <w:pPr>
            <w:pStyle w:val="TOC2"/>
            <w:tabs>
              <w:tab w:val="left" w:pos="1100"/>
            </w:tabs>
            <w:rPr>
              <w:rFonts w:eastAsiaTheme="minorEastAsia"/>
              <w:lang w:eastAsia="en-AU"/>
            </w:rPr>
          </w:pPr>
          <w:hyperlink w:anchor="_Toc130478616" w:history="1">
            <w:r w:rsidR="000337F3" w:rsidRPr="007D2447">
              <w:rPr>
                <w:rStyle w:val="Hyperlink"/>
              </w:rPr>
              <w:t>5.1</w:t>
            </w:r>
            <w:r w:rsidR="000337F3">
              <w:rPr>
                <w:rFonts w:eastAsiaTheme="minorEastAsia"/>
                <w:lang w:eastAsia="en-AU"/>
              </w:rPr>
              <w:tab/>
            </w:r>
            <w:r w:rsidR="000337F3" w:rsidRPr="007D2447">
              <w:rPr>
                <w:rStyle w:val="Hyperlink"/>
              </w:rPr>
              <w:t>Directions paper findings</w:t>
            </w:r>
            <w:r w:rsidR="000337F3">
              <w:rPr>
                <w:webHidden/>
              </w:rPr>
              <w:tab/>
            </w:r>
            <w:r w:rsidR="000337F3">
              <w:rPr>
                <w:webHidden/>
              </w:rPr>
              <w:fldChar w:fldCharType="begin"/>
            </w:r>
            <w:r w:rsidR="000337F3">
              <w:rPr>
                <w:webHidden/>
              </w:rPr>
              <w:instrText xml:space="preserve"> PAGEREF _Toc130478616 \h </w:instrText>
            </w:r>
            <w:r w:rsidR="000337F3">
              <w:rPr>
                <w:webHidden/>
              </w:rPr>
            </w:r>
            <w:r w:rsidR="000337F3">
              <w:rPr>
                <w:webHidden/>
              </w:rPr>
              <w:fldChar w:fldCharType="separate"/>
            </w:r>
            <w:r w:rsidR="00CB152E">
              <w:rPr>
                <w:webHidden/>
              </w:rPr>
              <w:t>10</w:t>
            </w:r>
            <w:r w:rsidR="000337F3">
              <w:rPr>
                <w:webHidden/>
              </w:rPr>
              <w:fldChar w:fldCharType="end"/>
            </w:r>
          </w:hyperlink>
        </w:p>
        <w:p w14:paraId="05854274" w14:textId="0B2AB51D" w:rsidR="000337F3" w:rsidRDefault="00000000">
          <w:pPr>
            <w:pStyle w:val="TOC2"/>
            <w:tabs>
              <w:tab w:val="left" w:pos="1100"/>
            </w:tabs>
            <w:rPr>
              <w:rFonts w:eastAsiaTheme="minorEastAsia"/>
              <w:lang w:eastAsia="en-AU"/>
            </w:rPr>
          </w:pPr>
          <w:hyperlink w:anchor="_Toc130478617" w:history="1">
            <w:r w:rsidR="000337F3" w:rsidRPr="007D2447">
              <w:rPr>
                <w:rStyle w:val="Hyperlink"/>
              </w:rPr>
              <w:t>5.2</w:t>
            </w:r>
            <w:r w:rsidR="000337F3">
              <w:rPr>
                <w:rFonts w:eastAsiaTheme="minorEastAsia"/>
                <w:lang w:eastAsia="en-AU"/>
              </w:rPr>
              <w:tab/>
            </w:r>
            <w:r w:rsidR="000337F3" w:rsidRPr="007D2447">
              <w:rPr>
                <w:rStyle w:val="Hyperlink"/>
              </w:rPr>
              <w:t>Proposed approach</w:t>
            </w:r>
            <w:r w:rsidR="000337F3">
              <w:rPr>
                <w:webHidden/>
              </w:rPr>
              <w:tab/>
            </w:r>
            <w:r w:rsidR="000337F3">
              <w:rPr>
                <w:webHidden/>
              </w:rPr>
              <w:fldChar w:fldCharType="begin"/>
            </w:r>
            <w:r w:rsidR="000337F3">
              <w:rPr>
                <w:webHidden/>
              </w:rPr>
              <w:instrText xml:space="preserve"> PAGEREF _Toc130478617 \h </w:instrText>
            </w:r>
            <w:r w:rsidR="000337F3">
              <w:rPr>
                <w:webHidden/>
              </w:rPr>
            </w:r>
            <w:r w:rsidR="000337F3">
              <w:rPr>
                <w:webHidden/>
              </w:rPr>
              <w:fldChar w:fldCharType="separate"/>
            </w:r>
            <w:r w:rsidR="00CB152E">
              <w:rPr>
                <w:webHidden/>
              </w:rPr>
              <w:t>11</w:t>
            </w:r>
            <w:r w:rsidR="000337F3">
              <w:rPr>
                <w:webHidden/>
              </w:rPr>
              <w:fldChar w:fldCharType="end"/>
            </w:r>
          </w:hyperlink>
        </w:p>
        <w:p w14:paraId="64531CCE" w14:textId="4F665B4E" w:rsidR="000337F3" w:rsidRDefault="00000000">
          <w:pPr>
            <w:pStyle w:val="TOC1"/>
            <w:rPr>
              <w:rFonts w:eastAsiaTheme="minorEastAsia"/>
              <w:b w:val="0"/>
              <w:lang w:eastAsia="en-AU"/>
            </w:rPr>
          </w:pPr>
          <w:hyperlink w:anchor="_Toc130478618" w:history="1">
            <w:r w:rsidR="000337F3" w:rsidRPr="007D2447">
              <w:rPr>
                <w:rStyle w:val="Hyperlink"/>
              </w:rPr>
              <w:t>6</w:t>
            </w:r>
            <w:r w:rsidR="000337F3">
              <w:rPr>
                <w:rFonts w:eastAsiaTheme="minorEastAsia"/>
                <w:b w:val="0"/>
                <w:lang w:eastAsia="en-AU"/>
              </w:rPr>
              <w:tab/>
            </w:r>
            <w:r w:rsidR="000337F3" w:rsidRPr="007D2447">
              <w:rPr>
                <w:rStyle w:val="Hyperlink"/>
              </w:rPr>
              <w:t>Next steps</w:t>
            </w:r>
            <w:r w:rsidR="000337F3">
              <w:rPr>
                <w:webHidden/>
              </w:rPr>
              <w:tab/>
            </w:r>
            <w:r w:rsidR="000337F3">
              <w:rPr>
                <w:webHidden/>
              </w:rPr>
              <w:fldChar w:fldCharType="begin"/>
            </w:r>
            <w:r w:rsidR="000337F3">
              <w:rPr>
                <w:webHidden/>
              </w:rPr>
              <w:instrText xml:space="preserve"> PAGEREF _Toc130478618 \h </w:instrText>
            </w:r>
            <w:r w:rsidR="000337F3">
              <w:rPr>
                <w:webHidden/>
              </w:rPr>
            </w:r>
            <w:r w:rsidR="000337F3">
              <w:rPr>
                <w:webHidden/>
              </w:rPr>
              <w:fldChar w:fldCharType="separate"/>
            </w:r>
            <w:r w:rsidR="00CB152E">
              <w:rPr>
                <w:webHidden/>
              </w:rPr>
              <w:t>12</w:t>
            </w:r>
            <w:r w:rsidR="000337F3">
              <w:rPr>
                <w:webHidden/>
              </w:rPr>
              <w:fldChar w:fldCharType="end"/>
            </w:r>
          </w:hyperlink>
        </w:p>
        <w:p w14:paraId="59F848F9" w14:textId="621FBF02" w:rsidR="00764D6A" w:rsidRDefault="00E91D72">
          <w:r>
            <w:rPr>
              <w:b/>
              <w:noProof/>
            </w:rPr>
            <w:fldChar w:fldCharType="end"/>
          </w:r>
        </w:p>
      </w:sdtContent>
    </w:sdt>
    <w:p w14:paraId="423F6107" w14:textId="77777777" w:rsidR="00764D6A" w:rsidRDefault="00E91D72">
      <w:pPr>
        <w:pStyle w:val="TOCHeading2"/>
        <w:rPr>
          <w:rStyle w:val="Strong"/>
        </w:rPr>
      </w:pPr>
      <w:r>
        <w:rPr>
          <w:rStyle w:val="Strong"/>
        </w:rPr>
        <w:t>Figures</w:t>
      </w:r>
    </w:p>
    <w:p w14:paraId="5FEA533E" w14:textId="007BA2EB" w:rsidR="00764D6A" w:rsidRDefault="00F12BA1" w:rsidP="00EC3A3F">
      <w:pPr>
        <w:pStyle w:val="TableofFigures"/>
        <w:tabs>
          <w:tab w:val="right" w:leader="dot" w:pos="9060"/>
        </w:tabs>
      </w:pPr>
      <w:fldSimple w:instr=" TOC \h \z \c &quot;Figure&quot; ">
        <w:hyperlink r:id="rId17" w:anchor="_Toc127802340" w:history="1">
          <w:r w:rsidR="00723774" w:rsidRPr="00C44E38">
            <w:rPr>
              <w:rStyle w:val="Hyperlink"/>
              <w:i/>
              <w:iCs/>
              <w:noProof/>
            </w:rPr>
            <w:t>Figure 1: DMO jurisdictions</w:t>
          </w:r>
          <w:r w:rsidR="00723774">
            <w:rPr>
              <w:noProof/>
              <w:webHidden/>
            </w:rPr>
            <w:tab/>
          </w:r>
          <w:r w:rsidR="00723774">
            <w:rPr>
              <w:noProof/>
              <w:webHidden/>
            </w:rPr>
            <w:fldChar w:fldCharType="begin"/>
          </w:r>
          <w:r w:rsidR="00723774">
            <w:rPr>
              <w:noProof/>
              <w:webHidden/>
            </w:rPr>
            <w:instrText xml:space="preserve"> PAGEREF _Toc127802340 \h </w:instrText>
          </w:r>
          <w:r w:rsidR="00723774">
            <w:rPr>
              <w:noProof/>
              <w:webHidden/>
            </w:rPr>
          </w:r>
          <w:r w:rsidR="00723774">
            <w:rPr>
              <w:noProof/>
              <w:webHidden/>
            </w:rPr>
            <w:fldChar w:fldCharType="separate"/>
          </w:r>
          <w:r w:rsidR="00CB152E">
            <w:rPr>
              <w:noProof/>
              <w:webHidden/>
            </w:rPr>
            <w:t>5</w:t>
          </w:r>
          <w:r w:rsidR="00723774">
            <w:rPr>
              <w:noProof/>
              <w:webHidden/>
            </w:rPr>
            <w:fldChar w:fldCharType="end"/>
          </w:r>
        </w:hyperlink>
      </w:fldSimple>
    </w:p>
    <w:p w14:paraId="77505E28" w14:textId="77777777" w:rsidR="006712B7" w:rsidRDefault="006712B7">
      <w:pPr>
        <w:spacing w:after="0" w:line="240" w:lineRule="auto"/>
        <w:rPr>
          <w:color w:val="76923C" w:themeColor="accent3" w:themeShade="BF"/>
          <w:sz w:val="56"/>
          <w:szCs w:val="56"/>
        </w:rPr>
      </w:pPr>
      <w:r>
        <w:rPr>
          <w:color w:val="76923C" w:themeColor="accent3" w:themeShade="BF"/>
          <w:sz w:val="56"/>
          <w:szCs w:val="56"/>
        </w:rPr>
        <w:br w:type="page"/>
      </w:r>
    </w:p>
    <w:p w14:paraId="5500BDB5" w14:textId="2D84CB30" w:rsidR="006712B7" w:rsidRDefault="006712B7" w:rsidP="000337F3">
      <w:pPr>
        <w:pStyle w:val="Heading2"/>
      </w:pPr>
      <w:bookmarkStart w:id="2" w:name="_Toc88143325"/>
      <w:bookmarkStart w:id="3" w:name="_Toc91084239"/>
      <w:bookmarkStart w:id="4" w:name="_Toc127801070"/>
      <w:bookmarkStart w:id="5" w:name="_Toc130478606"/>
      <w:r>
        <w:lastRenderedPageBreak/>
        <w:t>About this paper</w:t>
      </w:r>
      <w:bookmarkEnd w:id="2"/>
      <w:bookmarkEnd w:id="3"/>
      <w:bookmarkEnd w:id="4"/>
      <w:bookmarkEnd w:id="5"/>
    </w:p>
    <w:p w14:paraId="671CDA4F" w14:textId="77777777" w:rsidR="002341DD" w:rsidRDefault="006712B7" w:rsidP="002341DD">
      <w:r w:rsidRPr="00B64B19">
        <w:t xml:space="preserve">The purpose of this paper is to </w:t>
      </w:r>
      <w:r w:rsidR="00843FA1">
        <w:t>undertake</w:t>
      </w:r>
      <w:r>
        <w:t xml:space="preserve"> further consultation on the outcomes from the 2022 R</w:t>
      </w:r>
      <w:r w:rsidRPr="00B64B19">
        <w:t>eview</w:t>
      </w:r>
      <w:r>
        <w:t xml:space="preserve"> of </w:t>
      </w:r>
      <w:r w:rsidRPr="00B64B19">
        <w:t xml:space="preserve">the </w:t>
      </w:r>
      <w:r w:rsidRPr="00B64B19">
        <w:rPr>
          <w:i/>
        </w:rPr>
        <w:t>Competition and Consumer (Industry Code – Electricity Retail) Regulations 2019</w:t>
      </w:r>
      <w:r w:rsidR="00DF79C5">
        <w:rPr>
          <w:i/>
        </w:rPr>
        <w:t xml:space="preserve"> </w:t>
      </w:r>
      <w:r w:rsidR="00DF79C5" w:rsidRPr="00B14676">
        <w:t>(2022 DMO Review)</w:t>
      </w:r>
      <w:r w:rsidRPr="008B5BD4">
        <w:t xml:space="preserve">. </w:t>
      </w:r>
    </w:p>
    <w:p w14:paraId="33C7F260" w14:textId="21913593" w:rsidR="006712B7" w:rsidRDefault="002341DD" w:rsidP="002341DD">
      <w:r>
        <w:t xml:space="preserve">In accordance with the commitment in the explanatory statement </w:t>
      </w:r>
      <w:r w:rsidR="00E875C0">
        <w:t>for</w:t>
      </w:r>
      <w:r>
        <w:t xml:space="preserve"> the Code, a </w:t>
      </w:r>
      <w:r w:rsidR="00E875C0">
        <w:t>r</w:t>
      </w:r>
      <w:r>
        <w:t>eview of the Code was conducted two years after its initial implementation.</w:t>
      </w:r>
      <w:r w:rsidR="00E875C0">
        <w:t xml:space="preserve"> </w:t>
      </w:r>
      <w:hyperlink r:id="rId18" w:history="1">
        <w:r w:rsidR="000337F3" w:rsidRPr="000337F3">
          <w:rPr>
            <w:rStyle w:val="Hyperlink"/>
          </w:rPr>
          <w:t xml:space="preserve">Find out more </w:t>
        </w:r>
        <w:r w:rsidR="006712B7" w:rsidRPr="000337F3">
          <w:rPr>
            <w:rStyle w:val="Hyperlink"/>
          </w:rPr>
          <w:t>Information on the review and its outcomes</w:t>
        </w:r>
      </w:hyperlink>
      <w:r w:rsidR="006712B7" w:rsidRPr="008231FA">
        <w:t xml:space="preserve">. </w:t>
      </w:r>
      <w:r w:rsidR="00DF79C5">
        <w:t xml:space="preserve">This paper should be read in conjunction with the </w:t>
      </w:r>
      <w:hyperlink r:id="rId19" w:history="1">
        <w:r w:rsidR="00DF79C5" w:rsidRPr="002B7D67">
          <w:rPr>
            <w:rStyle w:val="Hyperlink"/>
          </w:rPr>
          <w:t>2022 DMO Review outcomes and associated consultation material</w:t>
        </w:r>
      </w:hyperlink>
      <w:r w:rsidR="00DF79C5">
        <w:t xml:space="preserve">. </w:t>
      </w:r>
    </w:p>
    <w:p w14:paraId="7E2E0F33" w14:textId="215C26E7" w:rsidR="00DF79C5" w:rsidRDefault="00DF79C5" w:rsidP="00DF79C5">
      <w:r>
        <w:t>The 2022 DMO Review provided five outcomes. The first outcome, changing the date of the DMO determination to a later date in May</w:t>
      </w:r>
      <w:r w:rsidR="00E875C0">
        <w:t>,</w:t>
      </w:r>
      <w:r>
        <w:t xml:space="preserve"> has been completed. The fifth outcome is for the department to conduct a further review of the Code two years after implementation of the Consumer Data Right for Energy for initial retailers</w:t>
      </w:r>
      <w:r w:rsidR="000F5D35">
        <w:t>, which occurred in November 2022</w:t>
      </w:r>
      <w:r>
        <w:t>.</w:t>
      </w:r>
    </w:p>
    <w:p w14:paraId="480A17BB" w14:textId="77777777" w:rsidR="00DF79C5" w:rsidRDefault="00DF79C5" w:rsidP="00DF79C5">
      <w:r>
        <w:t>The three remaining outcomes from the 2022 DMO Review for consultation are:</w:t>
      </w:r>
    </w:p>
    <w:p w14:paraId="463D32AE" w14:textId="77777777" w:rsidR="00DF79C5" w:rsidRDefault="00DF79C5" w:rsidP="00DF79C5">
      <w:pPr>
        <w:pStyle w:val="ListParagraph"/>
        <w:numPr>
          <w:ilvl w:val="0"/>
          <w:numId w:val="40"/>
        </w:numPr>
      </w:pPr>
      <w:r w:rsidRPr="00337C5C">
        <w:t xml:space="preserve">options to amend the name of the Reference Price to an alternative which better describes its function and improves consumer </w:t>
      </w:r>
      <w:proofErr w:type="gramStart"/>
      <w:r w:rsidRPr="00337C5C">
        <w:t>understanding</w:t>
      </w:r>
      <w:r>
        <w:t>;</w:t>
      </w:r>
      <w:proofErr w:type="gramEnd"/>
    </w:p>
    <w:p w14:paraId="34CE1D92" w14:textId="77777777" w:rsidR="00DF79C5" w:rsidRDefault="00DF79C5" w:rsidP="00DF79C5">
      <w:pPr>
        <w:pStyle w:val="ListParagraph"/>
        <w:numPr>
          <w:ilvl w:val="0"/>
          <w:numId w:val="40"/>
        </w:numPr>
      </w:pPr>
      <w:r w:rsidRPr="00337C5C">
        <w:t>the application of the Reference Price to complex offers, including ensuring comparative advertising is available for complex offers</w:t>
      </w:r>
      <w:r>
        <w:t>; and</w:t>
      </w:r>
    </w:p>
    <w:p w14:paraId="62513424" w14:textId="77777777" w:rsidR="00DF79C5" w:rsidRDefault="00DF79C5" w:rsidP="00DF79C5">
      <w:pPr>
        <w:pStyle w:val="ListParagraph"/>
        <w:numPr>
          <w:ilvl w:val="0"/>
          <w:numId w:val="40"/>
        </w:numPr>
      </w:pPr>
      <w:r w:rsidRPr="00337C5C">
        <w:t>how to extend price cap protection provided by the DMO to customers in embedded networks, including examination of compliance issues and costs</w:t>
      </w:r>
      <w:r>
        <w:t>.</w:t>
      </w:r>
    </w:p>
    <w:p w14:paraId="353D9AA3" w14:textId="7D96E049" w:rsidR="002341DD" w:rsidRDefault="00DF79C5" w:rsidP="002341DD">
      <w:r>
        <w:br/>
        <w:t xml:space="preserve">All stakeholder submissions will be published unless stakeholders have clearly indicated a submission should remain confidential, either in whole or in part. </w:t>
      </w:r>
      <w:r w:rsidR="002341DD">
        <w:t xml:space="preserve">Your personal information will be managed in accordance with the </w:t>
      </w:r>
      <w:hyperlink r:id="rId20" w:history="1">
        <w:r w:rsidR="002341DD" w:rsidRPr="002B7D67">
          <w:rPr>
            <w:rStyle w:val="Hyperlink"/>
          </w:rPr>
          <w:t>department’s privacy policy</w:t>
        </w:r>
      </w:hyperlink>
      <w:r w:rsidR="00E875C0">
        <w:t>.</w:t>
      </w:r>
    </w:p>
    <w:p w14:paraId="1ADC187F" w14:textId="7E86CEBE" w:rsidR="00DF79C5" w:rsidRDefault="00A64ADF" w:rsidP="00A64ADF">
      <w:r>
        <w:t>Closing date for submissions</w:t>
      </w:r>
      <w:r w:rsidRPr="00F12BA1">
        <w:t xml:space="preserve">: </w:t>
      </w:r>
      <w:r w:rsidR="00B5706B" w:rsidRPr="00F12BA1">
        <w:t>2</w:t>
      </w:r>
      <w:r w:rsidR="00A24770" w:rsidRPr="00F12BA1">
        <w:t>1</w:t>
      </w:r>
      <w:r w:rsidRPr="00F12BA1">
        <w:t xml:space="preserve"> </w:t>
      </w:r>
      <w:r w:rsidR="006B42C0" w:rsidRPr="00F12BA1">
        <w:t>April</w:t>
      </w:r>
      <w:r w:rsidRPr="00F12BA1">
        <w:t xml:space="preserve"> 2023.</w:t>
      </w:r>
      <w:r w:rsidR="00E875C0">
        <w:t xml:space="preserve"> </w:t>
      </w:r>
      <w:r w:rsidR="00DF79C5">
        <w:t>Electronic submissions are preferred.</w:t>
      </w:r>
      <w:r w:rsidR="00E875C0">
        <w:t xml:space="preserve"> </w:t>
      </w:r>
    </w:p>
    <w:tbl>
      <w:tblPr>
        <w:tblStyle w:val="TableGrid"/>
        <w:tblW w:w="0" w:type="auto"/>
        <w:tblLook w:val="04A0" w:firstRow="1" w:lastRow="0" w:firstColumn="1" w:lastColumn="0" w:noHBand="0" w:noVBand="1"/>
      </w:tblPr>
      <w:tblGrid>
        <w:gridCol w:w="1271"/>
        <w:gridCol w:w="7789"/>
      </w:tblGrid>
      <w:tr w:rsidR="002341DD" w14:paraId="581A2E0E" w14:textId="77777777" w:rsidTr="002341DD">
        <w:tc>
          <w:tcPr>
            <w:tcW w:w="1271" w:type="dxa"/>
          </w:tcPr>
          <w:p w14:paraId="47E3A7AD" w14:textId="18940139" w:rsidR="002341DD" w:rsidRDefault="002341DD" w:rsidP="00DF79C5">
            <w:r>
              <w:t>Email</w:t>
            </w:r>
            <w:r w:rsidR="00A64ADF">
              <w:t>:</w:t>
            </w:r>
          </w:p>
        </w:tc>
        <w:tc>
          <w:tcPr>
            <w:tcW w:w="7789" w:type="dxa"/>
          </w:tcPr>
          <w:p w14:paraId="03A47B48" w14:textId="4C88123E" w:rsidR="002341DD" w:rsidRDefault="00000000" w:rsidP="00A64ADF">
            <w:hyperlink r:id="rId21" w:history="1">
              <w:r w:rsidR="00A24770" w:rsidRPr="005C0D5D">
                <w:rPr>
                  <w:rStyle w:val="Hyperlink"/>
                </w:rPr>
                <w:t>electricitycode@dcceew.gov.au</w:t>
              </w:r>
            </w:hyperlink>
            <w:r w:rsidR="00A64ADF">
              <w:t xml:space="preserve"> </w:t>
            </w:r>
          </w:p>
        </w:tc>
      </w:tr>
      <w:tr w:rsidR="002341DD" w14:paraId="21BE9E9E" w14:textId="77777777" w:rsidTr="002341DD">
        <w:tc>
          <w:tcPr>
            <w:tcW w:w="1271" w:type="dxa"/>
          </w:tcPr>
          <w:p w14:paraId="7F65B210" w14:textId="5782D27F" w:rsidR="002341DD" w:rsidRDefault="002341DD" w:rsidP="00DF79C5">
            <w:r>
              <w:t>Mail:</w:t>
            </w:r>
          </w:p>
        </w:tc>
        <w:tc>
          <w:tcPr>
            <w:tcW w:w="7789" w:type="dxa"/>
          </w:tcPr>
          <w:p w14:paraId="7B6D0DFD" w14:textId="3BCA69E3" w:rsidR="002341DD" w:rsidRDefault="002341DD" w:rsidP="00DF79C5">
            <w:r>
              <w:t>Electricity Division – Consumer Energy Policy</w:t>
            </w:r>
            <w:r>
              <w:br/>
            </w:r>
            <w:r w:rsidRPr="00A53BC3">
              <w:t>Department of Climate Change, En</w:t>
            </w:r>
            <w:r>
              <w:t>ergy, the Environment and Water</w:t>
            </w:r>
            <w:r>
              <w:br/>
            </w:r>
            <w:r w:rsidRPr="00A53BC3">
              <w:t>GPO Box 3090, Canberra ACT 2601, Australia</w:t>
            </w:r>
          </w:p>
        </w:tc>
      </w:tr>
    </w:tbl>
    <w:p w14:paraId="6D619244" w14:textId="727F80DC" w:rsidR="006712B7" w:rsidRDefault="006712B7" w:rsidP="000337F3">
      <w:pPr>
        <w:pStyle w:val="Heading2"/>
      </w:pPr>
      <w:bookmarkStart w:id="6" w:name="_Toc88143326"/>
      <w:bookmarkStart w:id="7" w:name="_Toc91084240"/>
      <w:bookmarkStart w:id="8" w:name="_Toc127801071"/>
      <w:bookmarkStart w:id="9" w:name="_Toc130478607"/>
      <w:r>
        <w:lastRenderedPageBreak/>
        <w:t>Introduction</w:t>
      </w:r>
      <w:bookmarkEnd w:id="6"/>
      <w:bookmarkEnd w:id="7"/>
      <w:bookmarkEnd w:id="8"/>
      <w:bookmarkEnd w:id="9"/>
    </w:p>
    <w:p w14:paraId="6BA81776" w14:textId="21AB7E0D" w:rsidR="003F5A63" w:rsidRPr="00B64B19" w:rsidRDefault="003F5A63" w:rsidP="003F5A63">
      <w:pPr>
        <w:keepNext/>
      </w:pPr>
      <w:r w:rsidRPr="00B64B19">
        <w:t>On 20 August 2018, the Australian Government announced the</w:t>
      </w:r>
      <w:r w:rsidRPr="00B64B19" w:rsidDel="00B6481C">
        <w:t xml:space="preserve"> </w:t>
      </w:r>
      <w:r w:rsidRPr="00B64B19">
        <w:t>implementation of a Default Market Offer (DMO) for retail electricity standing offers, as recommended by the Australian Competition and Consumer Commission (ACCC) in its Ret</w:t>
      </w:r>
      <w:r w:rsidR="00E875C0">
        <w:t>ail Electricity Pricing Inquiry</w:t>
      </w:r>
      <w:r w:rsidRPr="00B64B19">
        <w:t xml:space="preserve">. The Government also announced it would adopt the ACCC’s recommendation to use the DMO as a reference </w:t>
      </w:r>
      <w:r>
        <w:t>for</w:t>
      </w:r>
      <w:r w:rsidRPr="00B64B19">
        <w:t xml:space="preserve"> </w:t>
      </w:r>
      <w:r>
        <w:t xml:space="preserve">comparing </w:t>
      </w:r>
      <w:r w:rsidRPr="00B64B19">
        <w:t xml:space="preserve">electricity </w:t>
      </w:r>
      <w:r>
        <w:t>prices</w:t>
      </w:r>
      <w:r w:rsidRPr="00B64B19">
        <w:t>.</w:t>
      </w:r>
    </w:p>
    <w:p w14:paraId="393369DC" w14:textId="6F2583FD" w:rsidR="006712B7" w:rsidRPr="00B64B19" w:rsidRDefault="006712B7" w:rsidP="006712B7">
      <w:pPr>
        <w:keepNext/>
      </w:pPr>
      <w:r w:rsidRPr="00B64B19">
        <w:rPr>
          <w:noProof/>
          <w:lang w:eastAsia="en-AU"/>
        </w:rPr>
        <mc:AlternateContent>
          <mc:Choice Requires="wps">
            <w:drawing>
              <wp:anchor distT="45720" distB="45720" distL="114300" distR="114300" simplePos="0" relativeHeight="251658240" behindDoc="0" locked="0" layoutInCell="1" allowOverlap="1" wp14:anchorId="2F7CA5A9" wp14:editId="2A5A3D36">
                <wp:simplePos x="0" y="0"/>
                <wp:positionH relativeFrom="margin">
                  <wp:posOffset>3832860</wp:posOffset>
                </wp:positionH>
                <wp:positionV relativeFrom="paragraph">
                  <wp:posOffset>415060</wp:posOffset>
                </wp:positionV>
                <wp:extent cx="2360930" cy="1948815"/>
                <wp:effectExtent l="0" t="0" r="0" b="0"/>
                <wp:wrapSquare wrapText="bothSides"/>
                <wp:docPr id="5" name="Text Box 5" title="Diagram of where DMO appl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8815"/>
                        </a:xfrm>
                        <a:prstGeom prst="rect">
                          <a:avLst/>
                        </a:prstGeom>
                        <a:solidFill>
                          <a:srgbClr val="FFFFFF"/>
                        </a:solidFill>
                        <a:ln w="9525">
                          <a:noFill/>
                          <a:miter lim="800000"/>
                          <a:headEnd/>
                          <a:tailEnd/>
                        </a:ln>
                      </wps:spPr>
                      <wps:txbx>
                        <w:txbxContent>
                          <w:p w14:paraId="45AAA2F1" w14:textId="118369D5" w:rsidR="006712B7" w:rsidRPr="00CB5D48" w:rsidRDefault="006712B7" w:rsidP="00CB5D48">
                            <w:pPr>
                              <w:pStyle w:val="Normalsmall"/>
                            </w:pPr>
                            <w:bookmarkStart w:id="10" w:name="_Toc127802340"/>
                            <w:r w:rsidRPr="00DC390C">
                              <w:rPr>
                                <w:i/>
                                <w:iCs/>
                                <w:color w:val="1F497D" w:themeColor="text2"/>
                              </w:rPr>
                              <w:t xml:space="preserve">Figure </w:t>
                            </w:r>
                            <w:r w:rsidRPr="00DC390C">
                              <w:rPr>
                                <w:i/>
                                <w:iCs/>
                                <w:color w:val="1F497D" w:themeColor="text2"/>
                              </w:rPr>
                              <w:fldChar w:fldCharType="begin"/>
                            </w:r>
                            <w:r w:rsidRPr="00DC390C">
                              <w:rPr>
                                <w:i/>
                                <w:iCs/>
                                <w:color w:val="1F497D" w:themeColor="text2"/>
                              </w:rPr>
                              <w:instrText xml:space="preserve"> SEQ Figure \* ARABIC </w:instrText>
                            </w:r>
                            <w:r w:rsidRPr="00DC390C">
                              <w:rPr>
                                <w:i/>
                                <w:iCs/>
                                <w:color w:val="1F497D" w:themeColor="text2"/>
                              </w:rPr>
                              <w:fldChar w:fldCharType="separate"/>
                            </w:r>
                            <w:r w:rsidR="00CB152E">
                              <w:rPr>
                                <w:i/>
                                <w:iCs/>
                                <w:noProof/>
                                <w:color w:val="1F497D" w:themeColor="text2"/>
                              </w:rPr>
                              <w:t>1</w:t>
                            </w:r>
                            <w:r w:rsidRPr="00DC390C">
                              <w:rPr>
                                <w:i/>
                                <w:iCs/>
                                <w:color w:val="1F497D" w:themeColor="text2"/>
                              </w:rPr>
                              <w:fldChar w:fldCharType="end"/>
                            </w:r>
                            <w:r w:rsidRPr="00DC390C">
                              <w:rPr>
                                <w:i/>
                                <w:iCs/>
                                <w:color w:val="1F497D" w:themeColor="text2"/>
                              </w:rPr>
                              <w:t>: DMO jurisdictions</w:t>
                            </w:r>
                            <w:r w:rsidRPr="00CB5D48">
                              <w:rPr>
                                <w:noProof/>
                                <w:lang w:eastAsia="en-AU"/>
                              </w:rPr>
                              <w:drawing>
                                <wp:inline distT="0" distB="0" distL="0" distR="0" wp14:anchorId="72B44988" wp14:editId="0975D2FB">
                                  <wp:extent cx="2077720" cy="1356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77720" cy="1356995"/>
                                          </a:xfrm>
                                          <a:prstGeom prst="rect">
                                            <a:avLst/>
                                          </a:prstGeom>
                                        </pic:spPr>
                                      </pic:pic>
                                    </a:graphicData>
                                  </a:graphic>
                                </wp:inline>
                              </w:drawing>
                            </w:r>
                            <w:bookmarkEnd w:id="10"/>
                          </w:p>
                          <w:p w14:paraId="3E39D776" w14:textId="77777777" w:rsidR="006712B7" w:rsidRPr="00DC390C" w:rsidRDefault="006712B7" w:rsidP="006712B7">
                            <w:pPr>
                              <w:rPr>
                                <w:i/>
                              </w:rPr>
                            </w:pPr>
                            <w:r w:rsidRPr="00DC390C">
                              <w:rPr>
                                <w:i/>
                              </w:rPr>
                              <w:t>Source: AER, 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7CA5A9" id="_x0000_t202" coordsize="21600,21600" o:spt="202" path="m,l,21600r21600,l21600,xe">
                <v:stroke joinstyle="miter"/>
                <v:path gradientshapeok="t" o:connecttype="rect"/>
              </v:shapetype>
              <v:shape id="Text Box 5" o:spid="_x0000_s1026" type="#_x0000_t202" alt="Title: Diagram of where DMO applies" style="position:absolute;margin-left:301.8pt;margin-top:32.7pt;width:185.9pt;height:153.4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" stroked="f">
                <v:textbox>
                  <w:txbxContent>
                    <w:p w14:paraId="45AAA2F1" w14:textId="118369D5" w:rsidR="006712B7" w:rsidRPr="00CB5D48" w:rsidRDefault="006712B7" w:rsidP="00CB5D48">
                      <w:pPr>
                        <w:pStyle w:val="Normalsmall"/>
                      </w:pPr>
                      <w:bookmarkStart w:id="11" w:name="_Toc127802340"/>
                      <w:r w:rsidRPr="00DC390C">
                        <w:rPr>
                          <w:i/>
                          <w:iCs/>
                          <w:color w:val="1F497D" w:themeColor="text2"/>
                        </w:rPr>
                        <w:t xml:space="preserve">Figure </w:t>
                      </w:r>
                      <w:r w:rsidRPr="00DC390C">
                        <w:rPr>
                          <w:i/>
                          <w:iCs/>
                          <w:color w:val="1F497D" w:themeColor="text2"/>
                        </w:rPr>
                        <w:fldChar w:fldCharType="begin"/>
                      </w:r>
                      <w:r w:rsidRPr="00DC390C">
                        <w:rPr>
                          <w:i/>
                          <w:iCs/>
                          <w:color w:val="1F497D" w:themeColor="text2"/>
                        </w:rPr>
                        <w:instrText xml:space="preserve"> SEQ Figure \* ARABIC </w:instrText>
                      </w:r>
                      <w:r w:rsidRPr="00DC390C">
                        <w:rPr>
                          <w:i/>
                          <w:iCs/>
                          <w:color w:val="1F497D" w:themeColor="text2"/>
                        </w:rPr>
                        <w:fldChar w:fldCharType="separate"/>
                      </w:r>
                      <w:r w:rsidR="00CB152E">
                        <w:rPr>
                          <w:i/>
                          <w:iCs/>
                          <w:noProof/>
                          <w:color w:val="1F497D" w:themeColor="text2"/>
                        </w:rPr>
                        <w:t>1</w:t>
                      </w:r>
                      <w:r w:rsidRPr="00DC390C">
                        <w:rPr>
                          <w:i/>
                          <w:iCs/>
                          <w:color w:val="1F497D" w:themeColor="text2"/>
                        </w:rPr>
                        <w:fldChar w:fldCharType="end"/>
                      </w:r>
                      <w:r w:rsidRPr="00DC390C">
                        <w:rPr>
                          <w:i/>
                          <w:iCs/>
                          <w:color w:val="1F497D" w:themeColor="text2"/>
                        </w:rPr>
                        <w:t>: DMO jurisdictions</w:t>
                      </w:r>
                      <w:r w:rsidRPr="00CB5D48">
                        <w:rPr>
                          <w:noProof/>
                          <w:lang w:eastAsia="en-AU"/>
                        </w:rPr>
                        <w:drawing>
                          <wp:inline distT="0" distB="0" distL="0" distR="0" wp14:anchorId="72B44988" wp14:editId="0975D2FB">
                            <wp:extent cx="2077720" cy="1356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77720" cy="1356995"/>
                                    </a:xfrm>
                                    <a:prstGeom prst="rect">
                                      <a:avLst/>
                                    </a:prstGeom>
                                  </pic:spPr>
                                </pic:pic>
                              </a:graphicData>
                            </a:graphic>
                          </wp:inline>
                        </w:drawing>
                      </w:r>
                      <w:bookmarkEnd w:id="11"/>
                    </w:p>
                    <w:p w14:paraId="3E39D776" w14:textId="77777777" w:rsidR="006712B7" w:rsidRPr="00DC390C" w:rsidRDefault="006712B7" w:rsidP="006712B7">
                      <w:pPr>
                        <w:rPr>
                          <w:i/>
                        </w:rPr>
                      </w:pPr>
                      <w:r w:rsidRPr="00DC390C">
                        <w:rPr>
                          <w:i/>
                        </w:rPr>
                        <w:t>Source: AER, 2019</w:t>
                      </w:r>
                    </w:p>
                  </w:txbxContent>
                </v:textbox>
                <w10:wrap type="square" anchorx="margin"/>
              </v:shape>
            </w:pict>
          </mc:Fallback>
        </mc:AlternateContent>
      </w:r>
      <w:r w:rsidRPr="00B64B19">
        <w:t>The</w:t>
      </w:r>
      <w:r w:rsidRPr="002B7D67">
        <w:rPr>
          <w:iCs/>
        </w:rPr>
        <w:t xml:space="preserve"> </w:t>
      </w:r>
      <w:hyperlink r:id="rId23" w:history="1">
        <w:r w:rsidRPr="0084299F">
          <w:rPr>
            <w:rStyle w:val="Hyperlink"/>
            <w:iCs/>
          </w:rPr>
          <w:t>Competition and Consumer (Industry Code – Electricity Retail) Regulations 2019</w:t>
        </w:r>
      </w:hyperlink>
      <w:r w:rsidRPr="00B64B19">
        <w:rPr>
          <w:i/>
        </w:rPr>
        <w:t xml:space="preserve"> </w:t>
      </w:r>
      <w:r w:rsidRPr="00004CD9">
        <w:t>(the Code)</w:t>
      </w:r>
      <w:r>
        <w:rPr>
          <w:i/>
        </w:rPr>
        <w:t xml:space="preserve"> </w:t>
      </w:r>
      <w:r w:rsidRPr="00B64B19">
        <w:t>came into effect on 1 July 2019. It operates in New South Wales, South Australia</w:t>
      </w:r>
      <w:r>
        <w:t>,</w:t>
      </w:r>
      <w:r w:rsidRPr="00B64B19">
        <w:t xml:space="preserve"> and </w:t>
      </w:r>
      <w:proofErr w:type="gramStart"/>
      <w:r w:rsidRPr="00B64B19">
        <w:t>South East</w:t>
      </w:r>
      <w:proofErr w:type="gramEnd"/>
      <w:r w:rsidRPr="00B64B19">
        <w:t xml:space="preserve"> Queensland (DMO jurisdictions</w:t>
      </w:r>
      <w:r>
        <w:rPr>
          <w:rStyle w:val="FootnoteReference"/>
        </w:rPr>
        <w:footnoteReference w:id="2"/>
      </w:r>
      <w:r>
        <w:t xml:space="preserve"> – Figure 1</w:t>
      </w:r>
      <w:r w:rsidRPr="00B64B19">
        <w:t>) by:</w:t>
      </w:r>
    </w:p>
    <w:p w14:paraId="0470DF50" w14:textId="77777777" w:rsidR="006712B7" w:rsidRPr="00B64B19" w:rsidRDefault="006712B7" w:rsidP="006712B7">
      <w:pPr>
        <w:pStyle w:val="ListParagraph"/>
        <w:keepNext/>
        <w:numPr>
          <w:ilvl w:val="0"/>
          <w:numId w:val="35"/>
        </w:numPr>
        <w:spacing w:after="160" w:line="259" w:lineRule="auto"/>
        <w:contextualSpacing/>
      </w:pPr>
      <w:r>
        <w:t>a</w:t>
      </w:r>
      <w:r w:rsidRPr="00B64B19">
        <w:t xml:space="preserve">pplying the DMO price cap to standing offer prices available to certain residential and small business </w:t>
      </w:r>
      <w:proofErr w:type="gramStart"/>
      <w:r w:rsidRPr="00B64B19">
        <w:t>customers;</w:t>
      </w:r>
      <w:proofErr w:type="gramEnd"/>
    </w:p>
    <w:p w14:paraId="7933B0FD" w14:textId="56EA54E2" w:rsidR="006712B7" w:rsidRPr="00B64B19" w:rsidRDefault="006712B7" w:rsidP="006712B7">
      <w:pPr>
        <w:pStyle w:val="ListParagraph"/>
        <w:keepNext/>
        <w:numPr>
          <w:ilvl w:val="0"/>
          <w:numId w:val="35"/>
        </w:numPr>
        <w:spacing w:after="160" w:line="259" w:lineRule="auto"/>
        <w:contextualSpacing/>
      </w:pPr>
      <w:r>
        <w:t>r</w:t>
      </w:r>
      <w:r w:rsidRPr="00B64B19">
        <w:t xml:space="preserve">equiring retailers to </w:t>
      </w:r>
      <w:r w:rsidR="00C903C4">
        <w:t>compare their prices to the DMO (called the reference price)</w:t>
      </w:r>
      <w:r w:rsidRPr="00B64B19">
        <w:t>; and</w:t>
      </w:r>
    </w:p>
    <w:p w14:paraId="4F19CB33" w14:textId="28370439" w:rsidR="006712B7" w:rsidRPr="00B64B19" w:rsidRDefault="006712B7" w:rsidP="006712B7">
      <w:pPr>
        <w:pStyle w:val="ListParagraph"/>
        <w:keepNext/>
        <w:numPr>
          <w:ilvl w:val="0"/>
          <w:numId w:val="35"/>
        </w:numPr>
        <w:spacing w:after="160" w:line="259" w:lineRule="auto"/>
        <w:contextualSpacing/>
      </w:pPr>
      <w:r>
        <w:t>i</w:t>
      </w:r>
      <w:r w:rsidRPr="00B64B19">
        <w:t xml:space="preserve">mposing specific requirements on the </w:t>
      </w:r>
      <w:r w:rsidR="00C903C4">
        <w:t>communicating</w:t>
      </w:r>
      <w:r w:rsidRPr="00B64B19">
        <w:t xml:space="preserve"> of </w:t>
      </w:r>
      <w:r w:rsidR="00C903C4">
        <w:t xml:space="preserve">prices and advertising </w:t>
      </w:r>
      <w:r w:rsidRPr="00B64B19">
        <w:t>conditional discounts.</w:t>
      </w:r>
    </w:p>
    <w:p w14:paraId="40556B88" w14:textId="2968A34B" w:rsidR="00B14676" w:rsidRDefault="006712B7" w:rsidP="00DF79C5">
      <w:r w:rsidRPr="00F91E96">
        <w:t>The Code also sets out the framework for the Australian Energy Regulator (AER) to make determinations that underpin the DMO.</w:t>
      </w:r>
      <w:bookmarkStart w:id="12" w:name="_Toc80199014"/>
      <w:r w:rsidR="00B14676">
        <w:t xml:space="preserve"> </w:t>
      </w:r>
      <w:r w:rsidR="00384476">
        <w:t xml:space="preserve">During volatile market conditions experienced in 2022, retailers have </w:t>
      </w:r>
      <w:r w:rsidR="002341DD">
        <w:t xml:space="preserve">temporarily </w:t>
      </w:r>
      <w:r w:rsidR="00384476">
        <w:t xml:space="preserve">seen increased market pressures when balancing their </w:t>
      </w:r>
      <w:r w:rsidR="002341DD">
        <w:t xml:space="preserve">wholesale price </w:t>
      </w:r>
      <w:r w:rsidR="00384476">
        <w:t xml:space="preserve">hedging positions to keep standing offer prices </w:t>
      </w:r>
      <w:r w:rsidR="009A0C13">
        <w:t xml:space="preserve">in line </w:t>
      </w:r>
      <w:r w:rsidR="002341DD">
        <w:t>with</w:t>
      </w:r>
      <w:r w:rsidR="00384476">
        <w:t xml:space="preserve"> the DMO.</w:t>
      </w:r>
      <w:r w:rsidR="002341DD">
        <w:t xml:space="preserve"> The AER </w:t>
      </w:r>
      <w:r w:rsidR="00E875C0">
        <w:t>has</w:t>
      </w:r>
      <w:r w:rsidR="002341DD">
        <w:t xml:space="preserve"> </w:t>
      </w:r>
      <w:r w:rsidR="009A0C13">
        <w:t xml:space="preserve">already </w:t>
      </w:r>
      <w:r w:rsidR="002341DD">
        <w:t>undertaken consultation</w:t>
      </w:r>
      <w:r w:rsidR="002341DD">
        <w:rPr>
          <w:rStyle w:val="FootnoteReference"/>
        </w:rPr>
        <w:footnoteReference w:id="3"/>
      </w:r>
      <w:r w:rsidR="002341DD">
        <w:t xml:space="preserve"> to respond</w:t>
      </w:r>
      <w:r w:rsidR="002341DD" w:rsidRPr="002341DD">
        <w:t xml:space="preserve"> to </w:t>
      </w:r>
      <w:r w:rsidR="002341DD">
        <w:t xml:space="preserve">recent </w:t>
      </w:r>
      <w:r w:rsidR="002341DD" w:rsidRPr="002341DD">
        <w:t>market events</w:t>
      </w:r>
      <w:r w:rsidR="002341DD">
        <w:t xml:space="preserve"> to best address these market pressures in its next determination.</w:t>
      </w:r>
    </w:p>
    <w:p w14:paraId="35161463" w14:textId="2EE71AEF" w:rsidR="002341DD" w:rsidRDefault="00DF79C5" w:rsidP="006712B7">
      <w:r>
        <w:t xml:space="preserve">The Code operates </w:t>
      </w:r>
      <w:r w:rsidR="00DC0D9B">
        <w:t xml:space="preserve">nationally </w:t>
      </w:r>
      <w:r>
        <w:t xml:space="preserve">as part of the broader energy regulatory framework but sits outside the National Energy Customer Framework. </w:t>
      </w:r>
    </w:p>
    <w:p w14:paraId="0D1BD7FF" w14:textId="4EF00271" w:rsidR="008E4DA7" w:rsidRPr="00B64B19" w:rsidRDefault="00C903C4" w:rsidP="008E4DA7">
      <w:pPr>
        <w:pStyle w:val="Heading3"/>
      </w:pPr>
      <w:bookmarkStart w:id="13" w:name="_Toc80711016"/>
      <w:bookmarkStart w:id="14" w:name="_Toc81301223"/>
      <w:bookmarkStart w:id="15" w:name="_Toc130478608"/>
      <w:bookmarkStart w:id="16" w:name="_Toc88143336"/>
      <w:bookmarkStart w:id="17" w:name="_Toc91084249"/>
      <w:bookmarkStart w:id="18" w:name="_Toc127801074"/>
      <w:bookmarkEnd w:id="12"/>
      <w:r>
        <w:t>Overview of the C</w:t>
      </w:r>
      <w:r w:rsidR="008E4DA7" w:rsidRPr="00B64B19">
        <w:t>ode</w:t>
      </w:r>
      <w:bookmarkEnd w:id="13"/>
      <w:bookmarkEnd w:id="14"/>
      <w:bookmarkEnd w:id="15"/>
    </w:p>
    <w:p w14:paraId="003A0EEF" w14:textId="77777777" w:rsidR="008E4DA7" w:rsidRPr="00B64B19" w:rsidRDefault="008E4DA7" w:rsidP="008E4DA7">
      <w:r w:rsidRPr="00B64B19">
        <w:t>The Code requires the AER to determine the annual supply price of electricity for types of average customers in jurisdictions covered by the Code. This determined annual supply price operates as the price cap</w:t>
      </w:r>
      <w:r w:rsidRPr="00B64B19">
        <w:rPr>
          <w:rStyle w:val="FootnoteReference"/>
        </w:rPr>
        <w:footnoteReference w:id="4"/>
      </w:r>
      <w:r w:rsidRPr="00B64B19">
        <w:t xml:space="preserve"> and Reference Price and requires that:</w:t>
      </w:r>
    </w:p>
    <w:p w14:paraId="4E5B8A44" w14:textId="77777777" w:rsidR="008E4DA7" w:rsidRPr="00B64B19" w:rsidRDefault="008E4DA7" w:rsidP="008E4DA7">
      <w:pPr>
        <w:pStyle w:val="ListParagraph"/>
        <w:numPr>
          <w:ilvl w:val="0"/>
          <w:numId w:val="35"/>
        </w:numPr>
        <w:spacing w:after="160" w:line="259" w:lineRule="auto"/>
        <w:contextualSpacing/>
      </w:pPr>
      <w:r w:rsidRPr="00B64B19">
        <w:t xml:space="preserve">a retailer’s standing offer must not exceed this price (the DMO); and </w:t>
      </w:r>
    </w:p>
    <w:p w14:paraId="28D42953" w14:textId="77777777" w:rsidR="008E4DA7" w:rsidRPr="00B64B19" w:rsidRDefault="008E4DA7" w:rsidP="008E4DA7">
      <w:pPr>
        <w:pStyle w:val="ListParagraph"/>
        <w:numPr>
          <w:ilvl w:val="0"/>
          <w:numId w:val="35"/>
        </w:numPr>
        <w:spacing w:after="160" w:line="259" w:lineRule="auto"/>
        <w:contextualSpacing/>
      </w:pPr>
      <w:r w:rsidRPr="00B64B19">
        <w:lastRenderedPageBreak/>
        <w:t xml:space="preserve">the Reference Price must be used to compare </w:t>
      </w:r>
      <w:r>
        <w:t xml:space="preserve">certain </w:t>
      </w:r>
      <w:r w:rsidRPr="00B64B19">
        <w:t xml:space="preserve">advertised </w:t>
      </w:r>
      <w:proofErr w:type="gramStart"/>
      <w:r w:rsidRPr="00B64B19">
        <w:t>offers</w:t>
      </w:r>
      <w:proofErr w:type="gramEnd"/>
      <w:r w:rsidRPr="00B64B19">
        <w:t xml:space="preserve"> </w:t>
      </w:r>
    </w:p>
    <w:p w14:paraId="6E42161D" w14:textId="77777777" w:rsidR="008E4DA7" w:rsidRPr="00B64B19" w:rsidRDefault="008E4DA7" w:rsidP="008E4DA7">
      <w:r w:rsidRPr="00B64B19">
        <w:t>The Code also prevents advertising a conditional discount as the headline discount in the advertised price to help improve transparency and clarity around discounts for consumers. Further,</w:t>
      </w:r>
      <w:r w:rsidRPr="00B64B19" w:rsidDel="009E68D8">
        <w:t xml:space="preserve"> </w:t>
      </w:r>
      <w:r w:rsidRPr="00B64B19">
        <w:t xml:space="preserve">retailers must also clearly and </w:t>
      </w:r>
      <w:r>
        <w:t xml:space="preserve">conspicuously </w:t>
      </w:r>
      <w:r w:rsidRPr="00B64B19">
        <w:t>advertise the terms of any conditional discounts that form part of an offer.</w:t>
      </w:r>
    </w:p>
    <w:p w14:paraId="785742E1" w14:textId="5A3860CC" w:rsidR="008E4DA7" w:rsidRPr="00B64B19" w:rsidRDefault="008E4DA7" w:rsidP="008E4DA7">
      <w:r w:rsidRPr="00B64B19">
        <w:t xml:space="preserve">The AER calculates an annual supply price for all DMO jurisdictions and for different types of customers </w:t>
      </w:r>
      <w:r>
        <w:t xml:space="preserve">having regard </w:t>
      </w:r>
      <w:r w:rsidRPr="00FD3DD1">
        <w:t xml:space="preserve">to the costs to supply electricity </w:t>
      </w:r>
      <w:r>
        <w:t xml:space="preserve">to </w:t>
      </w:r>
      <w:r w:rsidRPr="00FD3DD1">
        <w:t>those customer</w:t>
      </w:r>
      <w:r>
        <w:t>s</w:t>
      </w:r>
      <w:r w:rsidRPr="00FD3DD1">
        <w:t xml:space="preserve">. However, </w:t>
      </w:r>
      <w:r>
        <w:t xml:space="preserve">the AER </w:t>
      </w:r>
      <w:r w:rsidRPr="00FD3DD1">
        <w:t xml:space="preserve">also </w:t>
      </w:r>
      <w:r w:rsidR="00E875C0">
        <w:t>has</w:t>
      </w:r>
      <w:r w:rsidRPr="00FD3DD1">
        <w:t xml:space="preserve"> regard to other objectives such as not dis-incentivising customer engagement in the market and allowing retailers to compete and innovate</w:t>
      </w:r>
      <w:r>
        <w:t xml:space="preserve">. </w:t>
      </w:r>
      <w:r w:rsidRPr="00B64B19">
        <w:t>The AER is required to make a price determination (in each distribution region) for the following three customer types:</w:t>
      </w:r>
    </w:p>
    <w:p w14:paraId="46ADA4C1" w14:textId="77777777" w:rsidR="008E4DA7" w:rsidRPr="00B64B19" w:rsidRDefault="008E4DA7" w:rsidP="008E4DA7">
      <w:pPr>
        <w:pStyle w:val="ListParagraph"/>
        <w:numPr>
          <w:ilvl w:val="0"/>
          <w:numId w:val="41"/>
        </w:numPr>
        <w:spacing w:after="160" w:line="259" w:lineRule="auto"/>
        <w:contextualSpacing/>
      </w:pPr>
      <w:r w:rsidRPr="00B64B19">
        <w:t xml:space="preserve">a residential, non-controlled load, </w:t>
      </w:r>
      <w:proofErr w:type="gramStart"/>
      <w:r w:rsidRPr="00B64B19">
        <w:t>customer;</w:t>
      </w:r>
      <w:proofErr w:type="gramEnd"/>
    </w:p>
    <w:p w14:paraId="0E965310" w14:textId="77777777" w:rsidR="008E4DA7" w:rsidRPr="00B64B19" w:rsidRDefault="008E4DA7" w:rsidP="008E4DA7">
      <w:pPr>
        <w:pStyle w:val="ListParagraph"/>
        <w:numPr>
          <w:ilvl w:val="0"/>
          <w:numId w:val="41"/>
        </w:numPr>
        <w:spacing w:after="160" w:line="259" w:lineRule="auto"/>
        <w:contextualSpacing/>
      </w:pPr>
      <w:r w:rsidRPr="00B64B19">
        <w:t>a residential, controlled load, customer; and</w:t>
      </w:r>
    </w:p>
    <w:p w14:paraId="37FD4336" w14:textId="77777777" w:rsidR="008E4DA7" w:rsidRPr="00B64B19" w:rsidRDefault="008E4DA7" w:rsidP="008E4DA7">
      <w:pPr>
        <w:pStyle w:val="ListParagraph"/>
        <w:numPr>
          <w:ilvl w:val="0"/>
          <w:numId w:val="41"/>
        </w:numPr>
        <w:spacing w:after="160" w:line="259" w:lineRule="auto"/>
        <w:contextualSpacing/>
      </w:pPr>
      <w:r w:rsidRPr="00B64B19">
        <w:t>a small business customer.</w:t>
      </w:r>
    </w:p>
    <w:p w14:paraId="0A084384" w14:textId="77777777" w:rsidR="008E4DA7" w:rsidRPr="00B64B19" w:rsidRDefault="008E4DA7" w:rsidP="008E4DA7">
      <w:pPr>
        <w:keepNext/>
      </w:pPr>
      <w:r>
        <w:t>In addition to recordkeeping requirements, a</w:t>
      </w:r>
      <w:r w:rsidRPr="00B64B19">
        <w:t xml:space="preserve">mendments to the Code in February 2020 extended: </w:t>
      </w:r>
    </w:p>
    <w:p w14:paraId="7A12CAB5" w14:textId="0D548215" w:rsidR="008E4DA7" w:rsidRPr="00B64B19" w:rsidRDefault="00E875C0" w:rsidP="008E4DA7">
      <w:pPr>
        <w:pStyle w:val="ListParagraph"/>
        <w:keepNext/>
        <w:numPr>
          <w:ilvl w:val="0"/>
          <w:numId w:val="43"/>
        </w:numPr>
        <w:spacing w:after="160" w:line="259" w:lineRule="auto"/>
        <w:contextualSpacing/>
      </w:pPr>
      <w:r>
        <w:t>the C</w:t>
      </w:r>
      <w:r w:rsidR="008E4DA7" w:rsidRPr="00B64B19">
        <w:t xml:space="preserve">ode, to cover small customers with solar photovoltaic (PV) </w:t>
      </w:r>
      <w:proofErr w:type="gramStart"/>
      <w:r w:rsidR="008E4DA7" w:rsidRPr="00B64B19">
        <w:t>systems;</w:t>
      </w:r>
      <w:proofErr w:type="gramEnd"/>
      <w:r w:rsidR="008E4DA7" w:rsidRPr="00B64B19">
        <w:t xml:space="preserve"> </w:t>
      </w:r>
    </w:p>
    <w:p w14:paraId="3DF784F4" w14:textId="77777777" w:rsidR="008E4DA7" w:rsidRPr="00B64B19" w:rsidRDefault="008E4DA7" w:rsidP="008E4DA7">
      <w:pPr>
        <w:pStyle w:val="ListParagraph"/>
        <w:keepNext/>
        <w:numPr>
          <w:ilvl w:val="0"/>
          <w:numId w:val="43"/>
        </w:numPr>
        <w:spacing w:after="160" w:line="259" w:lineRule="auto"/>
        <w:contextualSpacing/>
      </w:pPr>
      <w:r w:rsidRPr="00B64B19">
        <w:t>the cap on standing offer prices, to residential customers on flexible tariffs</w:t>
      </w:r>
      <w:r>
        <w:t xml:space="preserve">; </w:t>
      </w:r>
      <w:r w:rsidRPr="00B64B19">
        <w:t xml:space="preserve">and </w:t>
      </w:r>
    </w:p>
    <w:p w14:paraId="5BB46094" w14:textId="77777777" w:rsidR="008E4DA7" w:rsidRPr="00B64B19" w:rsidRDefault="008E4DA7" w:rsidP="008E4DA7">
      <w:pPr>
        <w:pStyle w:val="ListParagraph"/>
        <w:numPr>
          <w:ilvl w:val="0"/>
          <w:numId w:val="43"/>
        </w:numPr>
        <w:spacing w:after="160" w:line="259" w:lineRule="auto"/>
        <w:contextualSpacing/>
      </w:pPr>
      <w:r w:rsidRPr="00B64B19">
        <w:t>the Reference Price comparison obligation, to price variation notices</w:t>
      </w:r>
      <w:r w:rsidRPr="00B64B19" w:rsidDel="009D70B1">
        <w:t>.</w:t>
      </w:r>
      <w:r w:rsidRPr="00B64B19">
        <w:t xml:space="preserve"> </w:t>
      </w:r>
    </w:p>
    <w:p w14:paraId="31E9E2BC" w14:textId="77777777" w:rsidR="008E4DA7" w:rsidRDefault="008E4DA7" w:rsidP="008E4DA7">
      <w:r w:rsidRPr="00B64B19">
        <w:t>These amendments</w:t>
      </w:r>
      <w:r w:rsidRPr="00B64B19" w:rsidDel="009D70B1">
        <w:t xml:space="preserve"> r</w:t>
      </w:r>
      <w:r w:rsidRPr="00B64B19">
        <w:t xml:space="preserve">esulted in customers with grid-feeding solar photovoltaic units who also classify as one of the three </w:t>
      </w:r>
      <w:proofErr w:type="gramStart"/>
      <w:r w:rsidRPr="00B64B19">
        <w:t>customers</w:t>
      </w:r>
      <w:proofErr w:type="gramEnd"/>
      <w:r w:rsidRPr="00B64B19">
        <w:t xml:space="preserve"> types listed above as being covered by the Code. However, </w:t>
      </w:r>
      <w:r>
        <w:t xml:space="preserve">calculations of </w:t>
      </w:r>
      <w:r w:rsidRPr="00B64B19">
        <w:t>solar customer</w:t>
      </w:r>
      <w:r>
        <w:t xml:space="preserve"> </w:t>
      </w:r>
      <w:r w:rsidRPr="00B64B19">
        <w:t>feed-in tariff</w:t>
      </w:r>
      <w:r>
        <w:t>s are not included</w:t>
      </w:r>
      <w:r w:rsidRPr="00B64B19">
        <w:t>.</w:t>
      </w:r>
    </w:p>
    <w:p w14:paraId="74AC1F62" w14:textId="6FD62B01" w:rsidR="008E4DA7" w:rsidRDefault="008E4DA7" w:rsidP="008E4DA7">
      <w:r>
        <w:t xml:space="preserve">The Code does not apply </w:t>
      </w:r>
      <w:r w:rsidR="00384476">
        <w:t xml:space="preserve">where the standing offer price is </w:t>
      </w:r>
      <w:r w:rsidR="00E875C0">
        <w:t xml:space="preserve">already </w:t>
      </w:r>
      <w:r w:rsidR="00384476">
        <w:t xml:space="preserve">regulated, </w:t>
      </w:r>
      <w:r w:rsidR="00E875C0">
        <w:t xml:space="preserve">to </w:t>
      </w:r>
      <w:r>
        <w:t xml:space="preserve">small distribution regions with less than 100,000 consumers, </w:t>
      </w:r>
      <w:r w:rsidR="00E875C0">
        <w:t xml:space="preserve">or </w:t>
      </w:r>
      <w:r>
        <w:t>to small customers under the following supply arrangements:</w:t>
      </w:r>
    </w:p>
    <w:p w14:paraId="0A3CF1AF" w14:textId="77777777" w:rsidR="008E4DA7" w:rsidRDefault="008E4DA7" w:rsidP="008E4DA7">
      <w:pPr>
        <w:pStyle w:val="ListParagraph"/>
        <w:numPr>
          <w:ilvl w:val="0"/>
          <w:numId w:val="44"/>
        </w:numPr>
        <w:spacing w:after="160" w:line="259" w:lineRule="auto"/>
        <w:contextualSpacing/>
      </w:pPr>
      <w:r>
        <w:t xml:space="preserve">embedded </w:t>
      </w:r>
      <w:proofErr w:type="gramStart"/>
      <w:r>
        <w:t>networks;</w:t>
      </w:r>
      <w:proofErr w:type="gramEnd"/>
    </w:p>
    <w:p w14:paraId="5F107C72" w14:textId="77777777" w:rsidR="008E4DA7" w:rsidRDefault="008E4DA7" w:rsidP="008E4DA7">
      <w:pPr>
        <w:pStyle w:val="ListParagraph"/>
        <w:numPr>
          <w:ilvl w:val="0"/>
          <w:numId w:val="44"/>
        </w:numPr>
        <w:spacing w:after="160" w:line="259" w:lineRule="auto"/>
        <w:contextualSpacing/>
      </w:pPr>
      <w:r>
        <w:t>prepayment meters; and</w:t>
      </w:r>
    </w:p>
    <w:p w14:paraId="16831242" w14:textId="77777777" w:rsidR="008E4DA7" w:rsidRPr="00670C12" w:rsidRDefault="008E4DA7" w:rsidP="008E4DA7">
      <w:pPr>
        <w:pStyle w:val="ListParagraph"/>
        <w:numPr>
          <w:ilvl w:val="0"/>
          <w:numId w:val="44"/>
        </w:numPr>
        <w:spacing w:after="160" w:line="259" w:lineRule="auto"/>
        <w:contextualSpacing/>
      </w:pPr>
      <w:r>
        <w:t>where the prices for the supply include a demand tariff.</w:t>
      </w:r>
    </w:p>
    <w:p w14:paraId="5A306964" w14:textId="3A2E94B4" w:rsidR="00B14676" w:rsidRPr="00384476" w:rsidRDefault="00B14676" w:rsidP="00384476">
      <w:r w:rsidRPr="00384476">
        <w:br w:type="page"/>
      </w:r>
    </w:p>
    <w:p w14:paraId="7E8131C2" w14:textId="4C00EA7C" w:rsidR="00BF27D7" w:rsidRPr="00337C5C" w:rsidRDefault="00BF27D7" w:rsidP="000337F3">
      <w:pPr>
        <w:pStyle w:val="Heading2"/>
      </w:pPr>
      <w:bookmarkStart w:id="19" w:name="_Toc130478609"/>
      <w:r>
        <w:lastRenderedPageBreak/>
        <w:t>Application of</w:t>
      </w:r>
      <w:r w:rsidRPr="00337C5C">
        <w:t xml:space="preserve"> the Reference Price to complex </w:t>
      </w:r>
      <w:proofErr w:type="gramStart"/>
      <w:r w:rsidRPr="00337C5C">
        <w:t>offers</w:t>
      </w:r>
      <w:bookmarkEnd w:id="19"/>
      <w:proofErr w:type="gramEnd"/>
      <w:r w:rsidRPr="00337C5C">
        <w:t xml:space="preserve"> </w:t>
      </w:r>
    </w:p>
    <w:tbl>
      <w:tblPr>
        <w:tblpPr w:leftFromText="180" w:rightFromText="180" w:vertAnchor="text" w:horzAnchor="margin" w:tblpY="16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DE9D9" w:themeFill="accent6" w:themeFillTint="33"/>
        <w:tblCellMar>
          <w:left w:w="0" w:type="dxa"/>
          <w:right w:w="0" w:type="dxa"/>
        </w:tblCellMar>
        <w:tblLook w:val="04A0" w:firstRow="1" w:lastRow="0" w:firstColumn="1" w:lastColumn="0" w:noHBand="0" w:noVBand="1"/>
      </w:tblPr>
      <w:tblGrid>
        <w:gridCol w:w="9006"/>
      </w:tblGrid>
      <w:tr w:rsidR="00BF27D7" w14:paraId="7B590C4C" w14:textId="77777777" w:rsidTr="00C658A5">
        <w:trPr>
          <w:cantSplit/>
        </w:trPr>
        <w:tc>
          <w:tcPr>
            <w:tcW w:w="9006" w:type="dxa"/>
            <w:shd w:val="clear" w:color="auto" w:fill="FDE9D9" w:themeFill="accent6" w:themeFillTint="33"/>
            <w:tcMar>
              <w:top w:w="0" w:type="dxa"/>
              <w:left w:w="108" w:type="dxa"/>
              <w:bottom w:w="0" w:type="dxa"/>
              <w:right w:w="108" w:type="dxa"/>
            </w:tcMar>
          </w:tcPr>
          <w:p w14:paraId="3D5EDD35" w14:textId="77777777" w:rsidR="00BF27D7" w:rsidRDefault="00BF27D7" w:rsidP="00C658A5">
            <w:r>
              <w:t>We are consulting on the application of the Reference Price to complex offers, including ensuring comparative advertising is available for complex offers.</w:t>
            </w:r>
          </w:p>
        </w:tc>
      </w:tr>
    </w:tbl>
    <w:p w14:paraId="2239BBD8" w14:textId="77777777" w:rsidR="00BF27D7" w:rsidRDefault="00BF27D7" w:rsidP="00BF27D7">
      <w:pPr>
        <w:pStyle w:val="Heading3"/>
      </w:pPr>
      <w:bookmarkStart w:id="20" w:name="_Toc130478610"/>
      <w:r>
        <w:t>Directions paper findings</w:t>
      </w:r>
      <w:bookmarkEnd w:id="20"/>
    </w:p>
    <w:p w14:paraId="5DE772CE" w14:textId="77777777" w:rsidR="00C903C4" w:rsidRDefault="00BF27D7" w:rsidP="00BF27D7">
      <w:pPr>
        <w:spacing w:line="252" w:lineRule="auto"/>
      </w:pPr>
      <w:r>
        <w:t xml:space="preserve">All submissions supported further consultation </w:t>
      </w:r>
      <w:r w:rsidR="00C903C4" w:rsidRPr="00C903C4">
        <w:t>on how the reference price operates across the range of offers provided by retailers, particularly more complex offers</w:t>
      </w:r>
      <w:r>
        <w:t xml:space="preserve">. </w:t>
      </w:r>
    </w:p>
    <w:p w14:paraId="233A6A7B" w14:textId="77777777" w:rsidR="00C903C4" w:rsidRDefault="00C903C4" w:rsidP="00C903C4">
      <w:pPr>
        <w:spacing w:line="252" w:lineRule="auto"/>
      </w:pPr>
      <w:r>
        <w:t xml:space="preserve">Stakeholders recognised that the existing reference price is a suitable comparison tool for traditional tariff structures but is not as useful for more complex types of offers. </w:t>
      </w:r>
    </w:p>
    <w:p w14:paraId="1BE8073E" w14:textId="337A25EF" w:rsidR="00BF27D7" w:rsidRDefault="00BF27D7" w:rsidP="00BF27D7">
      <w:pPr>
        <w:spacing w:line="252" w:lineRule="auto"/>
      </w:pPr>
      <w:r>
        <w:t xml:space="preserve">The complex nature of some offers does not easily allow </w:t>
      </w:r>
      <w:r w:rsidR="00C903C4">
        <w:t xml:space="preserve">a meaningful </w:t>
      </w:r>
      <w:r>
        <w:t xml:space="preserve">comparison to </w:t>
      </w:r>
      <w:r w:rsidR="00C903C4">
        <w:t xml:space="preserve">the </w:t>
      </w:r>
      <w:r>
        <w:t>Reference Price as it may be difficult to define an average offering or an average user. Submissions also indicated it is important that this inability to easily compare offers should not restrict advertising of offers by retailers that would benefit consumers.</w:t>
      </w:r>
    </w:p>
    <w:p w14:paraId="2F6A8AB9" w14:textId="1A742DC8" w:rsidR="00BF27D7" w:rsidRDefault="00BF27D7" w:rsidP="00BF27D7">
      <w:pPr>
        <w:spacing w:line="252" w:lineRule="auto"/>
      </w:pPr>
      <w:r>
        <w:t xml:space="preserve">The retail market is rapidly changing with new technologies and products appearing frequently. </w:t>
      </w:r>
      <w:r w:rsidR="000375BE">
        <w:t xml:space="preserve">We are </w:t>
      </w:r>
      <w:r>
        <w:t xml:space="preserve">consulting with stakeholders on if and how the Reference Price should be applied </w:t>
      </w:r>
      <w:r w:rsidR="00C903C4">
        <w:t>to</w:t>
      </w:r>
      <w:r>
        <w:t xml:space="preserve"> advertising and comparing </w:t>
      </w:r>
      <w:proofErr w:type="gramStart"/>
      <w:r>
        <w:t>new</w:t>
      </w:r>
      <w:proofErr w:type="gramEnd"/>
      <w:r>
        <w:t xml:space="preserve"> and complex offers. </w:t>
      </w:r>
    </w:p>
    <w:p w14:paraId="2558B3B3" w14:textId="77777777" w:rsidR="00BF27D7" w:rsidRDefault="00BF27D7" w:rsidP="00BF27D7">
      <w:pPr>
        <w:pStyle w:val="Heading3"/>
      </w:pPr>
      <w:bookmarkStart w:id="21" w:name="_Toc130478611"/>
      <w:r>
        <w:t xml:space="preserve">Proposed </w:t>
      </w:r>
      <w:proofErr w:type="gramStart"/>
      <w:r>
        <w:t>approach</w:t>
      </w:r>
      <w:bookmarkEnd w:id="21"/>
      <w:proofErr w:type="gramEnd"/>
    </w:p>
    <w:p w14:paraId="6C2BDF4A" w14:textId="246B3AD6" w:rsidR="00C903C4" w:rsidRDefault="00C903C4" w:rsidP="00C903C4">
      <w:pPr>
        <w:spacing w:line="252" w:lineRule="auto"/>
      </w:pPr>
      <w:r>
        <w:t xml:space="preserve">In areas without standing offer price regulation, the AER currently determines for each customer type and distribution area, the per-customer amount of electricity supplied in a year, the timing or pattern of the supply, and the per-customer annual price for that supply. </w:t>
      </w:r>
    </w:p>
    <w:p w14:paraId="01C75D00" w14:textId="252E6A97" w:rsidR="00C903C4" w:rsidRDefault="00C903C4" w:rsidP="009A0C13">
      <w:pPr>
        <w:spacing w:line="252" w:lineRule="auto"/>
      </w:pPr>
      <w:r>
        <w:t xml:space="preserve">This makes the Reference Price a fit for purpose comparison tool </w:t>
      </w:r>
      <w:r w:rsidR="009A0C13">
        <w:t>for comparing market offers that are</w:t>
      </w:r>
      <w:r>
        <w:t xml:space="preserve"> include flat or single rate,</w:t>
      </w:r>
      <w:r w:rsidR="009A0C13">
        <w:t xml:space="preserve"> block, </w:t>
      </w:r>
      <w:r>
        <w:t xml:space="preserve">and </w:t>
      </w:r>
      <w:r w:rsidR="009A0C13">
        <w:t xml:space="preserve">time of use </w:t>
      </w:r>
      <w:r>
        <w:t>tariffs</w:t>
      </w:r>
      <w:r w:rsidR="009A0C13">
        <w:t xml:space="preserve">. </w:t>
      </w:r>
      <w:r>
        <w:t>Trying to compare more complex offers, for example wholesale cost pass through offers with a floating usage charge, provides a less useful comparison for consumers.</w:t>
      </w:r>
      <w:r w:rsidR="00E875C0">
        <w:t xml:space="preserve"> </w:t>
      </w:r>
    </w:p>
    <w:p w14:paraId="367E8108" w14:textId="04280265" w:rsidR="009A0C13" w:rsidRDefault="00C903C4" w:rsidP="009A0C13">
      <w:pPr>
        <w:spacing w:line="252" w:lineRule="auto"/>
      </w:pPr>
      <w:r>
        <w:t xml:space="preserve">The Code </w:t>
      </w:r>
      <w:r w:rsidR="009A0C13">
        <w:t>does not a</w:t>
      </w:r>
      <w:r w:rsidR="00F87609">
        <w:t xml:space="preserve">pply to demand tariffs. Solar feed in tariffs </w:t>
      </w:r>
      <w:proofErr w:type="gramStart"/>
      <w:r w:rsidR="00F87609">
        <w:t>are</w:t>
      </w:r>
      <w:proofErr w:type="gramEnd"/>
      <w:r w:rsidR="00F87609">
        <w:t xml:space="preserve"> disregarded when calculating the comparison to the Reference Price</w:t>
      </w:r>
      <w:r w:rsidR="009A0C13">
        <w:t xml:space="preserve">. We want to encourage innovation in the sector, and we </w:t>
      </w:r>
      <w:r w:rsidR="00DA5902">
        <w:t xml:space="preserve">anticipate </w:t>
      </w:r>
      <w:r w:rsidR="009A0C13">
        <w:t>new complex offers emerging in this market.</w:t>
      </w:r>
      <w:r w:rsidR="00E875C0">
        <w:t xml:space="preserve"> </w:t>
      </w:r>
    </w:p>
    <w:p w14:paraId="56F2A15C" w14:textId="1DC92A60" w:rsidR="00BF27D7" w:rsidRDefault="009A0C13" w:rsidP="00BF27D7">
      <w:pPr>
        <w:spacing w:line="252" w:lineRule="auto"/>
      </w:pPr>
      <w:r>
        <w:t xml:space="preserve">We note </w:t>
      </w:r>
      <w:r w:rsidR="00F87609">
        <w:t>requirements in the National Energy Retail Law and Rules, and Retail Pricing Information Guidelines apply to how retailers communicate their prices and offers</w:t>
      </w:r>
      <w:r w:rsidR="00BF27D7">
        <w:t xml:space="preserve">. The </w:t>
      </w:r>
      <w:hyperlink r:id="rId24" w:history="1">
        <w:r w:rsidR="00BF27D7" w:rsidRPr="002B7D67">
          <w:rPr>
            <w:rStyle w:val="Hyperlink"/>
          </w:rPr>
          <w:t>Retail Pricing Information Guidelines</w:t>
        </w:r>
      </w:hyperlink>
      <w:r w:rsidR="00BF27D7">
        <w:t xml:space="preserve"> provides the AER the power to specify additional matters necessary or convenient to assist customers to consider and compare offer prices offered by retailers, including those more complex offers entering the market. </w:t>
      </w:r>
    </w:p>
    <w:p w14:paraId="6BE0812F" w14:textId="70F197E5" w:rsidR="00BF27D7" w:rsidRDefault="00BF27D7" w:rsidP="00BF27D7">
      <w:pPr>
        <w:spacing w:line="252" w:lineRule="auto"/>
      </w:pPr>
      <w:r>
        <w:t xml:space="preserve">We propose defining the types of non-complex offers that are seen as providing on-going value to a consumer when compared to the Reference Price and limiting </w:t>
      </w:r>
      <w:r w:rsidR="00F87609">
        <w:t xml:space="preserve">the application of the </w:t>
      </w:r>
      <w:r>
        <w:t xml:space="preserve">Reference Price </w:t>
      </w:r>
      <w:r w:rsidR="00F87609">
        <w:t xml:space="preserve">communication </w:t>
      </w:r>
      <w:r>
        <w:t xml:space="preserve">requirements to those. This arrangement will continue to work in conjunction with the AER Retail Pricing </w:t>
      </w:r>
      <w:r w:rsidR="00F87609">
        <w:t xml:space="preserve">Information </w:t>
      </w:r>
      <w:r>
        <w:t>Guidelines</w:t>
      </w:r>
      <w:r w:rsidR="009A0C13">
        <w:t>. This guideline</w:t>
      </w:r>
      <w:r>
        <w:t xml:space="preserve"> can be updated to require </w:t>
      </w:r>
      <w:r w:rsidRPr="00BF27D7">
        <w:t xml:space="preserve">additional </w:t>
      </w:r>
      <w:r w:rsidRPr="00BF27D7">
        <w:lastRenderedPageBreak/>
        <w:t>information relating to price information</w:t>
      </w:r>
      <w:r>
        <w:t xml:space="preserve"> to assist consumers to be able to consistently compare complex offers.</w:t>
      </w:r>
    </w:p>
    <w:p w14:paraId="1EC8CCDB" w14:textId="77777777" w:rsidR="00BF27D7" w:rsidRPr="002E2EC3" w:rsidRDefault="00BF27D7" w:rsidP="00BF27D7">
      <w:pPr>
        <w:pStyle w:val="NormalRec"/>
        <w:keepNext/>
        <w:rPr>
          <w:b/>
        </w:rPr>
      </w:pPr>
      <w:r w:rsidRPr="002E2EC3">
        <w:rPr>
          <w:b/>
        </w:rPr>
        <w:t>Questions:</w:t>
      </w:r>
    </w:p>
    <w:p w14:paraId="1867ACE0" w14:textId="23B0265E" w:rsidR="00BF27D7" w:rsidRDefault="00BF27D7" w:rsidP="00BF27D7">
      <w:pPr>
        <w:pStyle w:val="NormalRec"/>
      </w:pPr>
      <w:bookmarkStart w:id="22" w:name="_Hlk130291205"/>
      <w:r>
        <w:t xml:space="preserve">1. Does </w:t>
      </w:r>
      <w:r w:rsidR="001C104B">
        <w:t xml:space="preserve">applying the Reference Price exclusively to simple </w:t>
      </w:r>
      <w:r w:rsidR="0032620E">
        <w:t xml:space="preserve">offers </w:t>
      </w:r>
      <w:r w:rsidR="001C104B">
        <w:t xml:space="preserve">(defined as </w:t>
      </w:r>
      <w:r w:rsidR="0032620E">
        <w:t>flat or single rate</w:t>
      </w:r>
      <w:r>
        <w:t xml:space="preserve">, block, </w:t>
      </w:r>
      <w:r w:rsidR="0032620E">
        <w:t xml:space="preserve">and </w:t>
      </w:r>
      <w:r>
        <w:t>time of use, with and without controlled load</w:t>
      </w:r>
      <w:r w:rsidR="001C104B">
        <w:t>)</w:t>
      </w:r>
      <w:r>
        <w:t xml:space="preserve"> retain the ability for consumers to </w:t>
      </w:r>
      <w:r w:rsidR="009A0C13">
        <w:t xml:space="preserve">best </w:t>
      </w:r>
      <w:r>
        <w:t>compare the Reference Price for non-complex offers?</w:t>
      </w:r>
    </w:p>
    <w:p w14:paraId="14217AC6" w14:textId="0D4279AA" w:rsidR="001C104B" w:rsidRDefault="001C104B" w:rsidP="00BF27D7">
      <w:pPr>
        <w:pStyle w:val="NormalRec"/>
      </w:pPr>
      <w:r>
        <w:t>2. Does the above provide appropriate flexibility for retailers to advertise complex offers?</w:t>
      </w:r>
    </w:p>
    <w:p w14:paraId="5C5FD382" w14:textId="15EAE33A" w:rsidR="00BF27D7" w:rsidRDefault="001C104B" w:rsidP="00BF27D7">
      <w:pPr>
        <w:pStyle w:val="NormalRec"/>
      </w:pPr>
      <w:r>
        <w:t>3</w:t>
      </w:r>
      <w:r w:rsidR="00BF27D7">
        <w:t>. Are there any unintended consequences from adopting this approach?</w:t>
      </w:r>
    </w:p>
    <w:p w14:paraId="6341FCAA" w14:textId="35FBA62D" w:rsidR="00BF27D7" w:rsidRDefault="001C104B" w:rsidP="00BF27D7">
      <w:pPr>
        <w:pStyle w:val="NormalRec"/>
      </w:pPr>
      <w:r>
        <w:t>4</w:t>
      </w:r>
      <w:r w:rsidR="00E16CCB">
        <w:t xml:space="preserve">. Do you have any implementation concerns </w:t>
      </w:r>
      <w:r w:rsidR="00A24770">
        <w:t>regarding</w:t>
      </w:r>
      <w:r w:rsidR="00E16CCB">
        <w:t xml:space="preserve"> timing or otherwise?</w:t>
      </w:r>
      <w:bookmarkEnd w:id="22"/>
      <w:r w:rsidR="00BF27D7">
        <w:br/>
      </w:r>
    </w:p>
    <w:p w14:paraId="7E57AC1E" w14:textId="77777777" w:rsidR="00B14676" w:rsidRDefault="00B14676">
      <w:pPr>
        <w:spacing w:after="0" w:line="240" w:lineRule="auto"/>
        <w:rPr>
          <w:rFonts w:ascii="Calibri" w:hAnsi="Calibri"/>
          <w:b/>
          <w:bCs/>
          <w:color w:val="083A42"/>
          <w:spacing w:val="5"/>
          <w:kern w:val="28"/>
          <w:sz w:val="72"/>
          <w:szCs w:val="28"/>
        </w:rPr>
      </w:pPr>
      <w:r>
        <w:br w:type="page"/>
      </w:r>
    </w:p>
    <w:p w14:paraId="527A30C9" w14:textId="3266140D" w:rsidR="006712B7" w:rsidRPr="00337C5C" w:rsidRDefault="006712B7" w:rsidP="000337F3">
      <w:pPr>
        <w:pStyle w:val="Heading2"/>
      </w:pPr>
      <w:bookmarkStart w:id="23" w:name="_Toc130478612"/>
      <w:r w:rsidRPr="00337C5C">
        <w:lastRenderedPageBreak/>
        <w:t>Improving the understanding of the Reference Price</w:t>
      </w:r>
      <w:bookmarkEnd w:id="16"/>
      <w:bookmarkEnd w:id="17"/>
      <w:r w:rsidRPr="00337C5C">
        <w:t xml:space="preserve"> for consumers</w:t>
      </w:r>
      <w:bookmarkEnd w:id="18"/>
      <w:bookmarkEnd w:id="23"/>
    </w:p>
    <w:tbl>
      <w:tblPr>
        <w:tblStyle w:val="TableGrid"/>
        <w:tblpPr w:leftFromText="180" w:rightFromText="180" w:vertAnchor="text" w:horzAnchor="margin" w:tblpY="204"/>
        <w:tblW w:w="0" w:type="auto"/>
        <w:shd w:val="clear" w:color="auto" w:fill="FDE9D9" w:themeFill="accent6" w:themeFillTint="33"/>
        <w:tblLook w:val="04A0" w:firstRow="1" w:lastRow="0" w:firstColumn="1" w:lastColumn="0" w:noHBand="0" w:noVBand="1"/>
      </w:tblPr>
      <w:tblGrid>
        <w:gridCol w:w="9016"/>
      </w:tblGrid>
      <w:tr w:rsidR="006712B7" w:rsidRPr="004D35AB" w14:paraId="2235EEE1" w14:textId="77777777" w:rsidTr="001F367C">
        <w:tc>
          <w:tcPr>
            <w:tcW w:w="9016" w:type="dxa"/>
            <w:shd w:val="clear" w:color="auto" w:fill="FDE9D9" w:themeFill="accent6" w:themeFillTint="33"/>
          </w:tcPr>
          <w:p w14:paraId="34AE6A6F" w14:textId="063CC306" w:rsidR="006712B7" w:rsidRPr="004D35AB" w:rsidRDefault="006712B7" w:rsidP="001F367C">
            <w:pPr>
              <w:spacing w:after="160" w:line="259" w:lineRule="auto"/>
            </w:pPr>
            <w:r>
              <w:t xml:space="preserve">We are consulting on </w:t>
            </w:r>
            <w:r w:rsidRPr="0005115C">
              <w:t>options to amend the name of the Reference Price to an alternative which better describes its function and improves consumer understanding</w:t>
            </w:r>
            <w:r w:rsidR="00E875C0">
              <w:t>.</w:t>
            </w:r>
          </w:p>
        </w:tc>
      </w:tr>
    </w:tbl>
    <w:p w14:paraId="0A19FD51" w14:textId="77777777" w:rsidR="006712B7" w:rsidRDefault="006712B7" w:rsidP="006712B7"/>
    <w:p w14:paraId="2217BC28" w14:textId="77777777" w:rsidR="006712B7" w:rsidRDefault="006712B7" w:rsidP="006712B7">
      <w:pPr>
        <w:pStyle w:val="Heading3"/>
      </w:pPr>
      <w:bookmarkStart w:id="24" w:name="_Toc127801075"/>
      <w:bookmarkStart w:id="25" w:name="_Toc130478613"/>
      <w:r>
        <w:t>Directions paper findings</w:t>
      </w:r>
      <w:bookmarkEnd w:id="24"/>
      <w:bookmarkEnd w:id="25"/>
    </w:p>
    <w:p w14:paraId="039A190F" w14:textId="0D75C7A4" w:rsidR="006712B7" w:rsidRDefault="006712B7" w:rsidP="006712B7">
      <w:r>
        <w:t>The directions paper sought views on using the term “comparison price set by Government” rather than “Reference Price” to improve consumer understanding of the purpose of the Reference Price and how it could be used by consumers.</w:t>
      </w:r>
      <w:r w:rsidR="00E875C0">
        <w:t xml:space="preserve"> </w:t>
      </w:r>
    </w:p>
    <w:p w14:paraId="41C1F4E4" w14:textId="1EBEAED1" w:rsidR="0032620E" w:rsidRDefault="0032620E" w:rsidP="006712B7">
      <w:r w:rsidRPr="0032620E">
        <w:t>Retailers are req</w:t>
      </w:r>
      <w:r>
        <w:t>uired to compare prices to the R</w:t>
      </w:r>
      <w:r w:rsidRPr="0032620E">
        <w:t xml:space="preserve">eference </w:t>
      </w:r>
      <w:r>
        <w:t>P</w:t>
      </w:r>
      <w:r w:rsidRPr="0032620E">
        <w:t>rice whenever they advertise or publish the prices, offer to supply electricity at the prices, or notify a customer of a price change.</w:t>
      </w:r>
    </w:p>
    <w:p w14:paraId="49C015B6" w14:textId="2FC53242" w:rsidR="006712B7" w:rsidRDefault="006712B7" w:rsidP="006712B7">
      <w:r>
        <w:t xml:space="preserve">Submissions generally supported changing the term Reference Price to a term that better reflects its purpose. Many submissions supported the name change to “comparison price set by Government”, however, others thought </w:t>
      </w:r>
      <w:r w:rsidR="0032620E" w:rsidRPr="0032620E">
        <w:t>that other wording options should be tested. Some stakeholders were also concerned that changing the wording would confuse consumers and may cause inconsistencies with the terms used in Victoria and the ACT</w:t>
      </w:r>
      <w:r>
        <w:t xml:space="preserve"> </w:t>
      </w:r>
    </w:p>
    <w:p w14:paraId="0372B210" w14:textId="2816FB3B" w:rsidR="0032620E" w:rsidRDefault="0032620E" w:rsidP="006712B7">
      <w:r w:rsidRPr="0032620E">
        <w:t xml:space="preserve">Some stakeholders considered that the proposed wording was too long to include in advertising material </w:t>
      </w:r>
      <w:proofErr w:type="gramStart"/>
      <w:r w:rsidRPr="0032620E">
        <w:t>and also</w:t>
      </w:r>
      <w:proofErr w:type="gramEnd"/>
      <w:r w:rsidRPr="0032620E">
        <w:t xml:space="preserve"> suggested removing other requirements, such as the “lowest possible price” requirement.</w:t>
      </w:r>
    </w:p>
    <w:p w14:paraId="50E3DAD6" w14:textId="77777777" w:rsidR="006712B7" w:rsidRDefault="006712B7" w:rsidP="006712B7">
      <w:pPr>
        <w:pStyle w:val="Heading3"/>
      </w:pPr>
      <w:bookmarkStart w:id="26" w:name="_Toc127801076"/>
      <w:bookmarkStart w:id="27" w:name="_Toc130478614"/>
      <w:r>
        <w:t xml:space="preserve">Proposed </w:t>
      </w:r>
      <w:proofErr w:type="gramStart"/>
      <w:r>
        <w:t>approach</w:t>
      </w:r>
      <w:bookmarkEnd w:id="26"/>
      <w:bookmarkEnd w:id="27"/>
      <w:proofErr w:type="gramEnd"/>
    </w:p>
    <w:p w14:paraId="03712173" w14:textId="212F43D9" w:rsidR="000337F3" w:rsidRDefault="006712B7" w:rsidP="0032620E">
      <w:r>
        <w:t xml:space="preserve">We propose that </w:t>
      </w:r>
      <w:r w:rsidR="0032620E" w:rsidRPr="0032620E">
        <w:t>retailers be required to use the term “comparison price set by government” wh</w:t>
      </w:r>
      <w:r w:rsidR="0032620E">
        <w:t>en stating a comparison to the R</w:t>
      </w:r>
      <w:r w:rsidR="0032620E" w:rsidRPr="0032620E">
        <w:t xml:space="preserve">eference </w:t>
      </w:r>
      <w:r w:rsidR="0032620E">
        <w:t>Price. The components of this term have</w:t>
      </w:r>
      <w:r>
        <w:t xml:space="preserve"> been empirically tested, describes the function, and is expected to provide an increased consumer understanding.</w:t>
      </w:r>
      <w:r w:rsidR="008101CE">
        <w:t xml:space="preserve"> </w:t>
      </w:r>
      <w:hyperlink r:id="rId25" w:history="1">
        <w:r w:rsidR="000337F3" w:rsidRPr="001C1191">
          <w:rPr>
            <w:rStyle w:val="Hyperlink"/>
          </w:rPr>
          <w:t xml:space="preserve">Read the </w:t>
        </w:r>
        <w:r w:rsidR="001C1191" w:rsidRPr="001C1191">
          <w:rPr>
            <w:rStyle w:val="Hyperlink"/>
          </w:rPr>
          <w:t>Testing comprehension of the reference pric</w:t>
        </w:r>
        <w:r w:rsidR="001C1191">
          <w:rPr>
            <w:rStyle w:val="Hyperlink"/>
          </w:rPr>
          <w:t>e report</w:t>
        </w:r>
      </w:hyperlink>
      <w:r w:rsidR="001C1191">
        <w:t>.</w:t>
      </w:r>
    </w:p>
    <w:p w14:paraId="0905EE16" w14:textId="0FF709B5" w:rsidR="006712B7" w:rsidRDefault="006712B7" w:rsidP="006712B7">
      <w:r>
        <w:t>We also propose removing the small print advertising requirement of “lowest possible price”.</w:t>
      </w:r>
      <w:r w:rsidR="0032620E">
        <w:t xml:space="preserve"> </w:t>
      </w:r>
    </w:p>
    <w:p w14:paraId="438B6E33" w14:textId="77777777" w:rsidR="006712B7" w:rsidRPr="002E2EC3" w:rsidRDefault="006712B7" w:rsidP="00843FA1">
      <w:pPr>
        <w:pStyle w:val="NormalRec"/>
        <w:keepNext/>
        <w:rPr>
          <w:b/>
        </w:rPr>
      </w:pPr>
      <w:r w:rsidRPr="002E2EC3">
        <w:rPr>
          <w:b/>
        </w:rPr>
        <w:t>Questions:</w:t>
      </w:r>
    </w:p>
    <w:p w14:paraId="570F7ACF" w14:textId="2D76AB10" w:rsidR="006712B7" w:rsidRDefault="00D578EB" w:rsidP="006712B7">
      <w:pPr>
        <w:pStyle w:val="NormalRec"/>
      </w:pPr>
      <w:bookmarkStart w:id="28" w:name="_Hlk130291218"/>
      <w:r>
        <w:t>5</w:t>
      </w:r>
      <w:r w:rsidR="006712B7">
        <w:t xml:space="preserve">. Do you have any other alternative terms that have been </w:t>
      </w:r>
      <w:r w:rsidR="00180CBD">
        <w:t>user-</w:t>
      </w:r>
      <w:r w:rsidR="006712B7">
        <w:t>tested that would improve understanding and use of t</w:t>
      </w:r>
      <w:r w:rsidR="00180CBD">
        <w:t xml:space="preserve">he Reference Price </w:t>
      </w:r>
      <w:r w:rsidR="0032620E">
        <w:t xml:space="preserve">comparison </w:t>
      </w:r>
      <w:r w:rsidR="00180CBD">
        <w:t>by consumers?</w:t>
      </w:r>
      <w:r w:rsidR="006712B7">
        <w:t xml:space="preserve"> If so, can you please provide the testing and data for us to consider.</w:t>
      </w:r>
    </w:p>
    <w:p w14:paraId="07E740B4" w14:textId="17899CE7" w:rsidR="006712B7" w:rsidRDefault="00D578EB" w:rsidP="006712B7">
      <w:pPr>
        <w:pStyle w:val="NormalRec"/>
      </w:pPr>
      <w:r>
        <w:t>6</w:t>
      </w:r>
      <w:r w:rsidR="006712B7">
        <w:t>. Do you see any unintended consequences of removing the small print term “lowest possible price”?</w:t>
      </w:r>
    </w:p>
    <w:p w14:paraId="308C7B2D" w14:textId="400A2E89" w:rsidR="006712B7" w:rsidRPr="00D27E12" w:rsidRDefault="00D578EB" w:rsidP="00F629E3">
      <w:pPr>
        <w:pStyle w:val="NormalRec"/>
      </w:pPr>
      <w:r>
        <w:t>7</w:t>
      </w:r>
      <w:r w:rsidR="0036470C" w:rsidDel="00D578EB">
        <w:t>.</w:t>
      </w:r>
      <w:r w:rsidR="0036470C">
        <w:t xml:space="preserve"> Do you have any </w:t>
      </w:r>
      <w:r w:rsidR="00E16CCB">
        <w:t xml:space="preserve">implementation </w:t>
      </w:r>
      <w:r w:rsidR="0036470C">
        <w:t>concerns</w:t>
      </w:r>
      <w:r w:rsidR="00E16CCB">
        <w:t xml:space="preserve"> </w:t>
      </w:r>
      <w:r w:rsidR="00A24770">
        <w:t>regarding</w:t>
      </w:r>
      <w:r w:rsidR="00E16CCB">
        <w:t xml:space="preserve"> timing or otherwise</w:t>
      </w:r>
      <w:r w:rsidR="0036470C">
        <w:t>?</w:t>
      </w:r>
      <w:bookmarkEnd w:id="28"/>
    </w:p>
    <w:p w14:paraId="576CD9C7" w14:textId="77777777" w:rsidR="001C1191" w:rsidRDefault="001C1191" w:rsidP="001C1191">
      <w:pPr>
        <w:spacing w:after="0" w:line="240" w:lineRule="auto"/>
      </w:pPr>
      <w:bookmarkStart w:id="29" w:name="_Toc88143339"/>
      <w:bookmarkStart w:id="30" w:name="_Toc91084252"/>
      <w:bookmarkStart w:id="31" w:name="_Toc127801080"/>
      <w:bookmarkStart w:id="32" w:name="_Toc130478615"/>
    </w:p>
    <w:p w14:paraId="170E2742" w14:textId="26363F6D" w:rsidR="006712B7" w:rsidRDefault="006712B7" w:rsidP="001C1191">
      <w:pPr>
        <w:pStyle w:val="Heading2"/>
      </w:pPr>
      <w:r>
        <w:lastRenderedPageBreak/>
        <w:t>Embedded network customer</w:t>
      </w:r>
      <w:bookmarkEnd w:id="29"/>
      <w:bookmarkEnd w:id="30"/>
      <w:bookmarkEnd w:id="31"/>
      <w:r w:rsidR="006D01D1">
        <w:t xml:space="preserve"> pricing protection</w:t>
      </w:r>
      <w:bookmarkEnd w:id="32"/>
    </w:p>
    <w:tbl>
      <w:tblPr>
        <w:tblStyle w:val="TableGrid"/>
        <w:tblpPr w:leftFromText="180" w:rightFromText="180" w:vertAnchor="text" w:horzAnchor="margin" w:tblpY="123"/>
        <w:tblW w:w="0" w:type="auto"/>
        <w:shd w:val="clear" w:color="auto" w:fill="FDE9D9" w:themeFill="accent6" w:themeFillTint="33"/>
        <w:tblLook w:val="04A0" w:firstRow="1" w:lastRow="0" w:firstColumn="1" w:lastColumn="0" w:noHBand="0" w:noVBand="1"/>
      </w:tblPr>
      <w:tblGrid>
        <w:gridCol w:w="9016"/>
      </w:tblGrid>
      <w:tr w:rsidR="006712B7" w14:paraId="08E97403" w14:textId="77777777" w:rsidTr="001F367C">
        <w:tc>
          <w:tcPr>
            <w:tcW w:w="9016" w:type="dxa"/>
            <w:shd w:val="clear" w:color="auto" w:fill="FDE9D9" w:themeFill="accent6" w:themeFillTint="33"/>
          </w:tcPr>
          <w:p w14:paraId="393631B9" w14:textId="77777777" w:rsidR="006712B7" w:rsidRDefault="006712B7" w:rsidP="00DC0D9B">
            <w:pPr>
              <w:tabs>
                <w:tab w:val="left" w:pos="3320"/>
              </w:tabs>
            </w:pPr>
            <w:r>
              <w:t>We are consulting on how to extend price protection</w:t>
            </w:r>
            <w:r w:rsidR="00DC0D9B">
              <w:t>s</w:t>
            </w:r>
            <w:r>
              <w:t xml:space="preserve"> provided by the DMO to customers in embedded networks, including examination of compliance issues and costs</w:t>
            </w:r>
            <w:r w:rsidR="008B3761">
              <w:t>.</w:t>
            </w:r>
          </w:p>
          <w:p w14:paraId="751A317D" w14:textId="797BA763" w:rsidR="00D302B3" w:rsidRDefault="00D50B2D" w:rsidP="00D302B3">
            <w:pPr>
              <w:tabs>
                <w:tab w:val="left" w:pos="3320"/>
              </w:tabs>
            </w:pPr>
            <w:r>
              <w:t>Communication</w:t>
            </w:r>
            <w:r w:rsidR="00D302B3">
              <w:t xml:space="preserve"> requirements regarding the Reference Price will not be extended to embedded network providers.</w:t>
            </w:r>
          </w:p>
        </w:tc>
      </w:tr>
    </w:tbl>
    <w:p w14:paraId="7F144445" w14:textId="77777777" w:rsidR="006712B7" w:rsidRPr="00A51BA1" w:rsidRDefault="006712B7" w:rsidP="006712B7"/>
    <w:p w14:paraId="478BF936" w14:textId="77777777" w:rsidR="006712B7" w:rsidRDefault="006712B7" w:rsidP="006712B7">
      <w:pPr>
        <w:pStyle w:val="Heading3"/>
      </w:pPr>
      <w:bookmarkStart w:id="33" w:name="_Toc127801081"/>
      <w:bookmarkStart w:id="34" w:name="_Toc130478616"/>
      <w:r>
        <w:t>Directions paper findings</w:t>
      </w:r>
      <w:bookmarkEnd w:id="33"/>
      <w:bookmarkEnd w:id="34"/>
    </w:p>
    <w:p w14:paraId="5FE4670E" w14:textId="7F3AF0A6" w:rsidR="006712B7" w:rsidRDefault="006712B7" w:rsidP="006712B7">
      <w:r>
        <w:t xml:space="preserve">All submissions commenting on this </w:t>
      </w:r>
      <w:r w:rsidR="00E875C0">
        <w:t>outcome</w:t>
      </w:r>
      <w:r>
        <w:t xml:space="preserve"> supported </w:t>
      </w:r>
      <w:r w:rsidR="00D50B2D">
        <w:t>further consultation</w:t>
      </w:r>
      <w:r>
        <w:t xml:space="preserve"> on how best </w:t>
      </w:r>
      <w:r w:rsidR="00E875C0">
        <w:t xml:space="preserve">to </w:t>
      </w:r>
      <w:r>
        <w:t xml:space="preserve">extend DMO </w:t>
      </w:r>
      <w:r w:rsidR="00DC0D9B">
        <w:t xml:space="preserve">price </w:t>
      </w:r>
      <w:r>
        <w:t xml:space="preserve">protections to all customers of embedded networks. </w:t>
      </w:r>
    </w:p>
    <w:p w14:paraId="243E1194" w14:textId="5F8A48E5" w:rsidR="00D50B2D" w:rsidRDefault="00D50B2D" w:rsidP="00D50B2D">
      <w:r>
        <w:t>Some stakeholders noted that the DMO price protections are already applied indirectly to embedded network customers purchasing electricity from AER exempt sellers</w:t>
      </w:r>
      <w:r>
        <w:rPr>
          <w:rStyle w:val="FootnoteReference"/>
        </w:rPr>
        <w:footnoteReference w:id="5"/>
      </w:r>
      <w:r>
        <w:t>. Stakeholders were supportive of extending the DMO pricing protection to embedded network customers purchasing from Authorised Retailers</w:t>
      </w:r>
      <w:r>
        <w:rPr>
          <w:rStyle w:val="FootnoteReference"/>
        </w:rPr>
        <w:footnoteReference w:id="6"/>
      </w:r>
      <w:r>
        <w:t>. This is particularly important as retailers are covering an increasing number of customers in embedded networks</w:t>
      </w:r>
      <w:r>
        <w:rPr>
          <w:rStyle w:val="FootnoteReference"/>
        </w:rPr>
        <w:footnoteReference w:id="7"/>
      </w:r>
      <w:r>
        <w:t>.</w:t>
      </w:r>
    </w:p>
    <w:p w14:paraId="6C4BAEDC" w14:textId="23E73C14" w:rsidR="006712B7" w:rsidRDefault="001D702C" w:rsidP="006712B7">
      <w:r>
        <w:t>We acknowledge</w:t>
      </w:r>
      <w:r w:rsidR="006712B7" w:rsidRPr="00277290">
        <w:t xml:space="preserve"> the complexity of embedded networks, particularly the compliance issues and implementation costs of extending DMO </w:t>
      </w:r>
      <w:r w:rsidR="00DC0D9B">
        <w:t xml:space="preserve">price </w:t>
      </w:r>
      <w:r w:rsidR="006712B7" w:rsidRPr="00277290">
        <w:t xml:space="preserve">protections to affected customers. </w:t>
      </w:r>
      <w:r w:rsidR="0048631F">
        <w:t xml:space="preserve">We also note that visibility of small customers in embedded networks is somewhat limited due to nature of their regulatory </w:t>
      </w:r>
      <w:r w:rsidR="008C58A7">
        <w:t xml:space="preserve">arrangements. </w:t>
      </w:r>
      <w:r w:rsidR="006712B7" w:rsidRPr="00277290">
        <w:t xml:space="preserve">Given that, </w:t>
      </w:r>
      <w:r>
        <w:t>we are undertaking</w:t>
      </w:r>
      <w:r w:rsidR="006712B7" w:rsidRPr="00277290">
        <w:t xml:space="preserve"> further </w:t>
      </w:r>
      <w:r w:rsidR="006712B7">
        <w:t xml:space="preserve">detailed </w:t>
      </w:r>
      <w:r w:rsidR="006712B7" w:rsidRPr="00277290">
        <w:t xml:space="preserve">consultation on this matter. </w:t>
      </w:r>
    </w:p>
    <w:p w14:paraId="78F89E22" w14:textId="45D1BF60" w:rsidR="008C58A7" w:rsidRDefault="004A5105" w:rsidP="006712B7">
      <w:r>
        <w:t xml:space="preserve">For reference, consumers in embedded networks include those in apartment buildings, </w:t>
      </w:r>
      <w:r w:rsidR="001B4A1A">
        <w:t xml:space="preserve">shopping centres, </w:t>
      </w:r>
      <w:r>
        <w:t>retirement villages, caravan parks, or marina</w:t>
      </w:r>
      <w:r w:rsidR="001D702C">
        <w:t>s</w:t>
      </w:r>
      <w:r>
        <w:t xml:space="preserve">. These customers are normally serviced by either a retailer or exempt seller. </w:t>
      </w:r>
      <w:r w:rsidR="004322C4">
        <w:t>Due to wiring and metering arrangements, some customers cannot access market offers and are limited to purchasing electricity from the embedded network provider.</w:t>
      </w:r>
      <w:r w:rsidR="00CE559A">
        <w:t xml:space="preserve"> Customers with their own meter can sometimes access retailer energy-only</w:t>
      </w:r>
      <w:r w:rsidR="00CE559A">
        <w:rPr>
          <w:rStyle w:val="FootnoteReference"/>
        </w:rPr>
        <w:footnoteReference w:id="8"/>
      </w:r>
      <w:r w:rsidR="00CE559A">
        <w:t xml:space="preserve"> offers (on-market) and </w:t>
      </w:r>
      <w:r w:rsidR="00CE559A">
        <w:lastRenderedPageBreak/>
        <w:t>will still have to pay network charges to the embedded network provider.</w:t>
      </w:r>
      <w:r w:rsidR="008C58A7">
        <w:t xml:space="preserve"> We understand that there are not many energy-only offers available from retailers.</w:t>
      </w:r>
    </w:p>
    <w:p w14:paraId="063104F6" w14:textId="157C65BB" w:rsidR="004A5105" w:rsidRDefault="006712B7" w:rsidP="006712B7">
      <w:pPr>
        <w:pStyle w:val="Heading3"/>
      </w:pPr>
      <w:bookmarkStart w:id="35" w:name="_Toc127801082"/>
      <w:bookmarkStart w:id="36" w:name="_Toc130478617"/>
      <w:bookmarkStart w:id="37" w:name="_Toc88143340"/>
      <w:bookmarkStart w:id="38" w:name="_Toc91084253"/>
      <w:r>
        <w:t xml:space="preserve">Proposed </w:t>
      </w:r>
      <w:proofErr w:type="gramStart"/>
      <w:r>
        <w:t>approach</w:t>
      </w:r>
      <w:bookmarkEnd w:id="35"/>
      <w:bookmarkEnd w:id="36"/>
      <w:proofErr w:type="gramEnd"/>
    </w:p>
    <w:p w14:paraId="571B5F64" w14:textId="77777777" w:rsidR="00D50B2D" w:rsidRDefault="004A5105" w:rsidP="006712B7">
      <w:r>
        <w:t xml:space="preserve">The Code applies nationally to all retailers </w:t>
      </w:r>
      <w:r w:rsidR="004322C4">
        <w:t xml:space="preserve">in jurisdictions </w:t>
      </w:r>
      <w:r>
        <w:t xml:space="preserve">where there are no regulated standing offer prices. Currently this is in New South Wales, South </w:t>
      </w:r>
      <w:proofErr w:type="gramStart"/>
      <w:r>
        <w:t>Australia</w:t>
      </w:r>
      <w:proofErr w:type="gramEnd"/>
      <w:r>
        <w:t xml:space="preserve"> and </w:t>
      </w:r>
      <w:r w:rsidR="009A2DF6">
        <w:t>Southeast</w:t>
      </w:r>
      <w:r>
        <w:t xml:space="preserve"> Queensland. </w:t>
      </w:r>
    </w:p>
    <w:p w14:paraId="5CE63EF1" w14:textId="77777777" w:rsidR="00DE4AFB" w:rsidRDefault="00DE4AFB" w:rsidP="00DE4AFB">
      <w:r w:rsidRPr="00DE4AFB">
        <w:t xml:space="preserve">We propose extending pricing protections by ensuring prices offered by retailers to customers in embedded networks do not exceed the local standing offer. </w:t>
      </w:r>
    </w:p>
    <w:p w14:paraId="6E6BB0F4" w14:textId="081AFF2F" w:rsidR="004A5105" w:rsidRDefault="004A5105" w:rsidP="00DE4AFB">
      <w:r>
        <w:t xml:space="preserve">We propose to extend the Code to cover </w:t>
      </w:r>
      <w:r w:rsidR="00D50B2D">
        <w:t xml:space="preserve">electricity offers to customers </w:t>
      </w:r>
      <w:r>
        <w:t>embedded networks</w:t>
      </w:r>
      <w:r w:rsidR="00D50B2D">
        <w:t xml:space="preserve"> where they are not subject to price regulation. </w:t>
      </w:r>
      <w:r w:rsidR="003F5A63">
        <w:t xml:space="preserve">We </w:t>
      </w:r>
      <w:r w:rsidR="00093353">
        <w:t xml:space="preserve">propose to </w:t>
      </w:r>
      <w:r w:rsidR="003F5A63">
        <w:t xml:space="preserve">also </w:t>
      </w:r>
      <w:r w:rsidR="00FD2579">
        <w:t xml:space="preserve">extend </w:t>
      </w:r>
      <w:r w:rsidR="003F5A63" w:rsidRPr="003F5A63">
        <w:t xml:space="preserve">the definition of </w:t>
      </w:r>
      <w:r w:rsidR="003F5A63" w:rsidRPr="00FD2579">
        <w:rPr>
          <w:i/>
        </w:rPr>
        <w:t>distribution region</w:t>
      </w:r>
      <w:r w:rsidR="003F5A63" w:rsidRPr="003F5A63">
        <w:t xml:space="preserve"> </w:t>
      </w:r>
      <w:r w:rsidR="00FD2579">
        <w:t>to include connected embedded networks to ensure application of the Code to these small customers.</w:t>
      </w:r>
      <w:r w:rsidR="001B4A1A">
        <w:t xml:space="preserve"> </w:t>
      </w:r>
      <w:r w:rsidR="00093353">
        <w:t xml:space="preserve">We anticipate the </w:t>
      </w:r>
      <w:r w:rsidR="001B4A1A">
        <w:t xml:space="preserve">DMO pricing determination for standing offers </w:t>
      </w:r>
      <w:r w:rsidR="00093353">
        <w:t xml:space="preserve">may need to highlight or in some way present </w:t>
      </w:r>
      <w:r w:rsidR="001B4A1A">
        <w:t>network cost component</w:t>
      </w:r>
      <w:r w:rsidR="00093353">
        <w:t>s,</w:t>
      </w:r>
      <w:r w:rsidR="001B4A1A">
        <w:t xml:space="preserve"> to support customers taking up energy-only offers.</w:t>
      </w:r>
    </w:p>
    <w:p w14:paraId="2134F453" w14:textId="02A3C781" w:rsidR="004A5105" w:rsidRDefault="00284372" w:rsidP="004322C4">
      <w:r>
        <w:t xml:space="preserve">It is not the intention that this price protection is considered as price setting. </w:t>
      </w:r>
      <w:r w:rsidR="004322C4">
        <w:t xml:space="preserve">We acknowledge there could be cost savings available to </w:t>
      </w:r>
      <w:r w:rsidR="00E875C0">
        <w:t xml:space="preserve">retailers </w:t>
      </w:r>
      <w:r w:rsidR="004322C4">
        <w:t>from combining the purchasing power of multiple consumers</w:t>
      </w:r>
      <w:r w:rsidR="00CE559A">
        <w:t xml:space="preserve"> and </w:t>
      </w:r>
      <w:r w:rsidR="004322C4">
        <w:t xml:space="preserve">we expect these </w:t>
      </w:r>
      <w:r w:rsidR="009A2DF6">
        <w:t xml:space="preserve">savings </w:t>
      </w:r>
      <w:r w:rsidR="004322C4">
        <w:t>to continue to be passed through to those consumers</w:t>
      </w:r>
      <w:r w:rsidR="00A24770">
        <w:t>.</w:t>
      </w:r>
      <w:r w:rsidR="002B4B99">
        <w:t xml:space="preserve"> </w:t>
      </w:r>
      <w:r w:rsidR="00B01F01">
        <w:t>E</w:t>
      </w:r>
      <w:r w:rsidR="009A2DF6">
        <w:t xml:space="preserve">nergy-only offers provided to customers </w:t>
      </w:r>
      <w:r w:rsidR="002B6F40">
        <w:t xml:space="preserve">by retailers </w:t>
      </w:r>
      <w:r w:rsidR="009A2DF6">
        <w:t xml:space="preserve">in embedded networks </w:t>
      </w:r>
      <w:r w:rsidR="00B01F01">
        <w:t xml:space="preserve">should </w:t>
      </w:r>
      <w:r w:rsidR="009A2DF6">
        <w:t>not include network costs</w:t>
      </w:r>
      <w:r w:rsidR="00B01F01">
        <w:t xml:space="preserve"> as customers will still be charged network costs from the embedded network operator</w:t>
      </w:r>
      <w:r w:rsidR="009A2DF6">
        <w:t>.</w:t>
      </w:r>
    </w:p>
    <w:p w14:paraId="052BC22C" w14:textId="04894F83" w:rsidR="006712B7" w:rsidRDefault="004322C4" w:rsidP="006712B7">
      <w:r>
        <w:t xml:space="preserve">Some customers </w:t>
      </w:r>
      <w:r w:rsidR="00CE559A">
        <w:t xml:space="preserve">in embedded networks </w:t>
      </w:r>
      <w:r>
        <w:t xml:space="preserve">are </w:t>
      </w:r>
      <w:r w:rsidR="00CE559A">
        <w:t>supplied</w:t>
      </w:r>
      <w:r>
        <w:t xml:space="preserve"> by exempt </w:t>
      </w:r>
      <w:r w:rsidR="009A2DF6">
        <w:t>sellers</w:t>
      </w:r>
      <w:r w:rsidR="00A64ADF">
        <w:t>, not retailers,</w:t>
      </w:r>
      <w:r w:rsidR="00F4685F">
        <w:t xml:space="preserve"> and are </w:t>
      </w:r>
      <w:r w:rsidR="00871CE7">
        <w:t xml:space="preserve">therefore </w:t>
      </w:r>
      <w:r w:rsidR="00F4685F">
        <w:t>not covered by the Code. W</w:t>
      </w:r>
      <w:r>
        <w:t xml:space="preserve">e understand that </w:t>
      </w:r>
      <w:r w:rsidR="00842195">
        <w:t xml:space="preserve">many </w:t>
      </w:r>
      <w:r>
        <w:t>jurisdictions have other pricing arrangements</w:t>
      </w:r>
      <w:r w:rsidR="009A2DF6">
        <w:t xml:space="preserve"> to protect </w:t>
      </w:r>
      <w:r w:rsidR="00871CE7">
        <w:t xml:space="preserve">these </w:t>
      </w:r>
      <w:r w:rsidR="009A2DF6">
        <w:t>consumers</w:t>
      </w:r>
      <w:r>
        <w:t>. For example, c</w:t>
      </w:r>
      <w:r w:rsidR="006712B7">
        <w:t>ustomers in embedded networks that are supplied by an</w:t>
      </w:r>
      <w:r w:rsidR="00A64ADF">
        <w:t xml:space="preserve"> AER</w:t>
      </w:r>
      <w:r w:rsidR="006712B7">
        <w:t xml:space="preserve"> exempt seller currently have pric</w:t>
      </w:r>
      <w:r w:rsidR="007116D8">
        <w:t xml:space="preserve">ing protections through condition </w:t>
      </w:r>
      <w:r w:rsidR="006712B7">
        <w:t>7 of the AER Exempt Sellers Guidelines</w:t>
      </w:r>
      <w:r w:rsidR="007116D8">
        <w:rPr>
          <w:rStyle w:val="FootnoteReference"/>
        </w:rPr>
        <w:footnoteReference w:id="9"/>
      </w:r>
      <w:r w:rsidR="00CE559A">
        <w:t>.</w:t>
      </w:r>
      <w:r w:rsidR="00F4685F">
        <w:t xml:space="preserve"> </w:t>
      </w:r>
    </w:p>
    <w:p w14:paraId="7FB8FA55" w14:textId="77777777" w:rsidR="006712B7" w:rsidRPr="00EF7443" w:rsidRDefault="006712B7" w:rsidP="00A45DFA">
      <w:pPr>
        <w:pStyle w:val="NormalRec"/>
        <w:keepNext/>
      </w:pPr>
      <w:r w:rsidRPr="000337F3">
        <w:rPr>
          <w:rStyle w:val="Strong"/>
        </w:rPr>
        <w:t>Questions</w:t>
      </w:r>
      <w:r w:rsidRPr="00EF7443">
        <w:t>:</w:t>
      </w:r>
    </w:p>
    <w:p w14:paraId="7668815E" w14:textId="6877636C" w:rsidR="006712B7" w:rsidRDefault="002B6F40" w:rsidP="006712B7">
      <w:pPr>
        <w:pStyle w:val="NormalRec"/>
      </w:pPr>
      <w:bookmarkStart w:id="39" w:name="_Hlk130291232"/>
      <w:r>
        <w:t>8</w:t>
      </w:r>
      <w:r w:rsidR="006712B7">
        <w:t xml:space="preserve">. Does this approach </w:t>
      </w:r>
      <w:r w:rsidR="00CE559A">
        <w:t>ensure that customers i</w:t>
      </w:r>
      <w:r w:rsidR="006712B7">
        <w:t>n embedded networks</w:t>
      </w:r>
      <w:r w:rsidR="00CE559A">
        <w:t xml:space="preserve"> </w:t>
      </w:r>
      <w:r w:rsidR="00871CE7">
        <w:t>nationally</w:t>
      </w:r>
      <w:r w:rsidR="00CE559A">
        <w:t xml:space="preserve"> receive pricing protection based on the local standing offer (or DMO)</w:t>
      </w:r>
      <w:r w:rsidR="006712B7">
        <w:t>?</w:t>
      </w:r>
    </w:p>
    <w:p w14:paraId="2237F90C" w14:textId="175934C2" w:rsidR="006712B7" w:rsidRDefault="002B6F40" w:rsidP="006712B7">
      <w:pPr>
        <w:pStyle w:val="NormalRec"/>
      </w:pPr>
      <w:r>
        <w:t>9</w:t>
      </w:r>
      <w:r w:rsidR="006712B7">
        <w:t>. Are there any unintended consequences from adopting this approach</w:t>
      </w:r>
      <w:r w:rsidR="006B42C0">
        <w:t>, including any specific jurisdictional issues</w:t>
      </w:r>
      <w:r w:rsidR="006712B7">
        <w:t>?</w:t>
      </w:r>
    </w:p>
    <w:p w14:paraId="232BB089" w14:textId="0D164796" w:rsidR="00284372" w:rsidRDefault="002B6F40" w:rsidP="00F629E3">
      <w:pPr>
        <w:pStyle w:val="NormalRec"/>
        <w:rPr>
          <w:rFonts w:ascii="Calibri" w:hAnsi="Calibri"/>
          <w:color w:val="083A42"/>
          <w:spacing w:val="5"/>
          <w:kern w:val="28"/>
          <w:sz w:val="72"/>
          <w:szCs w:val="28"/>
        </w:rPr>
      </w:pPr>
      <w:r>
        <w:t>10</w:t>
      </w:r>
      <w:r w:rsidR="00E16CCB">
        <w:t xml:space="preserve">. Do you have any implementation concerns </w:t>
      </w:r>
      <w:r w:rsidR="006D2B40">
        <w:t>regarding</w:t>
      </w:r>
      <w:r w:rsidR="00E16CCB">
        <w:t xml:space="preserve"> timing or otherwise?</w:t>
      </w:r>
      <w:bookmarkStart w:id="40" w:name="_Toc127801083"/>
      <w:bookmarkEnd w:id="37"/>
      <w:bookmarkEnd w:id="38"/>
      <w:bookmarkEnd w:id="39"/>
    </w:p>
    <w:p w14:paraId="1637716C" w14:textId="25F10DC1" w:rsidR="006712B7" w:rsidRPr="00D03308" w:rsidRDefault="006712B7" w:rsidP="000337F3">
      <w:pPr>
        <w:pStyle w:val="Heading2"/>
      </w:pPr>
      <w:bookmarkStart w:id="41" w:name="_Toc130478618"/>
      <w:r w:rsidRPr="00D03308">
        <w:lastRenderedPageBreak/>
        <w:t xml:space="preserve">Next </w:t>
      </w:r>
      <w:r w:rsidR="000337F3">
        <w:t>s</w:t>
      </w:r>
      <w:r w:rsidRPr="00D03308">
        <w:t>teps</w:t>
      </w:r>
      <w:bookmarkEnd w:id="40"/>
      <w:bookmarkEnd w:id="41"/>
    </w:p>
    <w:p w14:paraId="26B4B8DC" w14:textId="7CBC9E0C" w:rsidR="00764D6A" w:rsidRDefault="000375BE" w:rsidP="008B3761">
      <w:r>
        <w:t xml:space="preserve">We </w:t>
      </w:r>
      <w:r w:rsidR="004A7E2B">
        <w:t>will undertake a public forum to discuss the issues</w:t>
      </w:r>
      <w:r w:rsidR="00B14676">
        <w:t xml:space="preserve"> with stakeholders</w:t>
      </w:r>
      <w:r w:rsidR="004A7E2B">
        <w:t xml:space="preserve">. </w:t>
      </w:r>
      <w:r>
        <w:t xml:space="preserve">We </w:t>
      </w:r>
      <w:r w:rsidR="006712B7">
        <w:t xml:space="preserve">will </w:t>
      </w:r>
      <w:r w:rsidR="004A7E2B">
        <w:t xml:space="preserve">then </w:t>
      </w:r>
      <w:r w:rsidR="006712B7">
        <w:t>collate and consider responses prior to seeking government approval of the outcomes. Any regulatory changes identified will then be implemented through nor</w:t>
      </w:r>
      <w:r w:rsidR="00DC4730">
        <w:t>mal regulatory change processes in due course.</w:t>
      </w:r>
    </w:p>
    <w:sectPr w:rsidR="00764D6A" w:rsidSect="006712B7">
      <w:headerReference w:type="default" r:id="rId26"/>
      <w:footerReference w:type="default" r:id="rId27"/>
      <w:headerReference w:type="first" r:id="rId2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4CE7" w14:textId="77777777" w:rsidR="00E83724" w:rsidRDefault="00E83724">
      <w:r>
        <w:separator/>
      </w:r>
    </w:p>
    <w:p w14:paraId="38DD219F" w14:textId="77777777" w:rsidR="00E83724" w:rsidRDefault="00E83724"/>
    <w:p w14:paraId="165F933A" w14:textId="77777777" w:rsidR="00E83724" w:rsidRDefault="00E83724"/>
  </w:endnote>
  <w:endnote w:type="continuationSeparator" w:id="0">
    <w:p w14:paraId="6CFA23E6" w14:textId="77777777" w:rsidR="00E83724" w:rsidRDefault="00E83724">
      <w:r>
        <w:continuationSeparator/>
      </w:r>
    </w:p>
    <w:p w14:paraId="5340216B" w14:textId="77777777" w:rsidR="00E83724" w:rsidRDefault="00E83724"/>
    <w:p w14:paraId="5E4EF13E" w14:textId="77777777" w:rsidR="00E83724" w:rsidRDefault="00E83724"/>
  </w:endnote>
  <w:endnote w:type="continuationNotice" w:id="1">
    <w:p w14:paraId="60125B30" w14:textId="77777777" w:rsidR="00E83724" w:rsidRDefault="00E83724">
      <w:pPr>
        <w:pStyle w:val="Footer"/>
      </w:pPr>
    </w:p>
    <w:p w14:paraId="3B41199A" w14:textId="77777777" w:rsidR="00E83724" w:rsidRDefault="00E83724"/>
    <w:p w14:paraId="4B8008A1" w14:textId="77777777" w:rsidR="00E83724" w:rsidRDefault="00E8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B935" w14:textId="77777777" w:rsidR="00B861B4" w:rsidRDefault="00D86640">
    <w:pPr>
      <w:pStyle w:val="Footer"/>
    </w:pPr>
    <w:r w:rsidRPr="00D86640">
      <w:t>Department of Climate Change, Energy, the Environment and Water</w:t>
    </w:r>
  </w:p>
  <w:p w14:paraId="55CCFBD2" w14:textId="77777777" w:rsidR="00B861B4" w:rsidRDefault="00B861B4">
    <w:pPr>
      <w:pStyle w:val="Footer"/>
    </w:pPr>
    <w:r>
      <w:fldChar w:fldCharType="begin"/>
    </w:r>
    <w:r>
      <w:instrText xml:space="preserve"> PAGE   \* MERGEFORMAT </w:instrText>
    </w:r>
    <w:r>
      <w:fldChar w:fldCharType="separate"/>
    </w:r>
    <w:r w:rsidR="001B4A1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A5FA" w14:textId="77777777" w:rsidR="00E83724" w:rsidRDefault="00E83724">
      <w:r>
        <w:separator/>
      </w:r>
    </w:p>
    <w:p w14:paraId="4EF12436" w14:textId="77777777" w:rsidR="00E83724" w:rsidRDefault="00E83724"/>
    <w:p w14:paraId="140714E5" w14:textId="77777777" w:rsidR="00E83724" w:rsidRDefault="00E83724"/>
  </w:footnote>
  <w:footnote w:type="continuationSeparator" w:id="0">
    <w:p w14:paraId="56536C36" w14:textId="77777777" w:rsidR="00E83724" w:rsidRDefault="00E83724">
      <w:r>
        <w:continuationSeparator/>
      </w:r>
    </w:p>
    <w:p w14:paraId="596B48BB" w14:textId="77777777" w:rsidR="00E83724" w:rsidRDefault="00E83724"/>
    <w:p w14:paraId="03D2041B" w14:textId="77777777" w:rsidR="00E83724" w:rsidRDefault="00E83724"/>
  </w:footnote>
  <w:footnote w:type="continuationNotice" w:id="1">
    <w:p w14:paraId="74B990B0" w14:textId="77777777" w:rsidR="00E83724" w:rsidRDefault="00E83724">
      <w:pPr>
        <w:pStyle w:val="Footer"/>
      </w:pPr>
    </w:p>
    <w:p w14:paraId="0DF0B889" w14:textId="77777777" w:rsidR="00E83724" w:rsidRDefault="00E83724"/>
    <w:p w14:paraId="66E41857" w14:textId="77777777" w:rsidR="00E83724" w:rsidRDefault="00E83724"/>
  </w:footnote>
  <w:footnote w:id="2">
    <w:p w14:paraId="6645DAAE" w14:textId="7E16F216" w:rsidR="006712B7" w:rsidRDefault="006712B7" w:rsidP="006712B7">
      <w:pPr>
        <w:pStyle w:val="FootnoteText"/>
      </w:pPr>
      <w:r>
        <w:rPr>
          <w:rStyle w:val="FootnoteReference"/>
        </w:rPr>
        <w:footnoteRef/>
      </w:r>
      <w:r>
        <w:t xml:space="preserve"> The Code was designed to apply in jurisdictions which did not otherwise regulate </w:t>
      </w:r>
      <w:r w:rsidR="00E875C0">
        <w:t xml:space="preserve">standing </w:t>
      </w:r>
      <w:proofErr w:type="gramStart"/>
      <w:r w:rsidR="00E875C0">
        <w:t>offer</w:t>
      </w:r>
      <w:proofErr w:type="gramEnd"/>
    </w:p>
    <w:p w14:paraId="20E3201A" w14:textId="56F98B37" w:rsidR="006712B7" w:rsidRDefault="006712B7" w:rsidP="006712B7">
      <w:pPr>
        <w:pStyle w:val="FootnoteText"/>
      </w:pPr>
      <w:r>
        <w:t>prices or have less than 100,000 cus</w:t>
      </w:r>
      <w:r w:rsidR="00E875C0">
        <w:t xml:space="preserve">tomers as defined in section </w:t>
      </w:r>
      <w:r>
        <w:t xml:space="preserve">8 of the </w:t>
      </w:r>
      <w:r w:rsidR="00E875C0">
        <w:t>Code</w:t>
      </w:r>
    </w:p>
  </w:footnote>
  <w:footnote w:id="3">
    <w:p w14:paraId="4B006A52" w14:textId="62EB7E50" w:rsidR="002341DD" w:rsidRDefault="002341DD">
      <w:pPr>
        <w:pStyle w:val="FootnoteText"/>
      </w:pPr>
      <w:r>
        <w:rPr>
          <w:rStyle w:val="FootnoteReference"/>
        </w:rPr>
        <w:footnoteRef/>
      </w:r>
      <w:r>
        <w:t xml:space="preserve"> </w:t>
      </w:r>
      <w:r w:rsidR="002B7D67">
        <w:t xml:space="preserve">Read the </w:t>
      </w:r>
      <w:hyperlink r:id="rId1" w:history="1">
        <w:r w:rsidR="0084299F">
          <w:rPr>
            <w:rStyle w:val="Hyperlink"/>
          </w:rPr>
          <w:t>AER Default market offer prices 2023-24 Issues paper</w:t>
        </w:r>
      </w:hyperlink>
      <w:r w:rsidR="002B7D67">
        <w:t xml:space="preserve"> </w:t>
      </w:r>
    </w:p>
  </w:footnote>
  <w:footnote w:id="4">
    <w:p w14:paraId="3D603695" w14:textId="77777777" w:rsidR="008E4DA7" w:rsidRDefault="008E4DA7" w:rsidP="008E4DA7">
      <w:pPr>
        <w:pStyle w:val="FootnoteText"/>
      </w:pPr>
      <w:r>
        <w:rPr>
          <w:rStyle w:val="FootnoteReference"/>
        </w:rPr>
        <w:footnoteRef/>
      </w:r>
      <w:r>
        <w:t xml:space="preserve"> The price cap does not limit the total costs for a consumer as that will be based on total energy use</w:t>
      </w:r>
    </w:p>
  </w:footnote>
  <w:footnote w:id="5">
    <w:p w14:paraId="7C35216B" w14:textId="77777777" w:rsidR="00D50B2D" w:rsidRDefault="00D50B2D" w:rsidP="00D50B2D">
      <w:pPr>
        <w:pStyle w:val="FootnoteText"/>
      </w:pPr>
      <w:r>
        <w:rPr>
          <w:rStyle w:val="FootnoteReference"/>
        </w:rPr>
        <w:footnoteRef/>
      </w:r>
      <w:r>
        <w:t xml:space="preserve"> ‘Exempt sellers’ are exempt from the requirement of the National Energy Retail Law that entities selling energy to premises must be an authorised retailer. The AER requires exempt sellers to abide by certain conditions that include consumer protections.</w:t>
      </w:r>
    </w:p>
  </w:footnote>
  <w:footnote w:id="6">
    <w:p w14:paraId="21870DA2" w14:textId="196E134F" w:rsidR="00D50B2D" w:rsidRDefault="00D50B2D" w:rsidP="00D50B2D">
      <w:pPr>
        <w:pStyle w:val="FootnoteText"/>
      </w:pPr>
      <w:r>
        <w:rPr>
          <w:rStyle w:val="FootnoteReference"/>
        </w:rPr>
        <w:footnoteRef/>
      </w:r>
      <w:r>
        <w:t xml:space="preserve"> </w:t>
      </w:r>
      <w:r w:rsidR="001C1191">
        <w:t xml:space="preserve">See the </w:t>
      </w:r>
      <w:hyperlink r:id="rId2" w:history="1">
        <w:r w:rsidR="001C1191" w:rsidRPr="001C1191">
          <w:rPr>
            <w:rStyle w:val="Hyperlink"/>
          </w:rPr>
          <w:t>Public register of authorised retailers &amp; authorisation applications</w:t>
        </w:r>
      </w:hyperlink>
      <w:r w:rsidR="001C1191" w:rsidRPr="001C1191">
        <w:t xml:space="preserve"> </w:t>
      </w:r>
    </w:p>
  </w:footnote>
  <w:footnote w:id="7">
    <w:p w14:paraId="4AFA50B0" w14:textId="54316C45" w:rsidR="00D50B2D" w:rsidRDefault="00D50B2D" w:rsidP="00D50B2D">
      <w:pPr>
        <w:pStyle w:val="FootnoteText"/>
      </w:pPr>
      <w:r>
        <w:rPr>
          <w:rStyle w:val="FootnoteReference"/>
        </w:rPr>
        <w:footnoteRef/>
      </w:r>
      <w:r>
        <w:t xml:space="preserve"> </w:t>
      </w:r>
      <w:r w:rsidR="001C1191">
        <w:t xml:space="preserve">Read the </w:t>
      </w:r>
      <w:hyperlink r:id="rId3" w:history="1">
        <w:r w:rsidR="0084299F">
          <w:rPr>
            <w:rStyle w:val="Hyperlink"/>
          </w:rPr>
          <w:t>Inquiry on Embedded Networks in New South Wales</w:t>
        </w:r>
      </w:hyperlink>
      <w:r w:rsidR="001C1191">
        <w:t xml:space="preserve"> </w:t>
      </w:r>
    </w:p>
  </w:footnote>
  <w:footnote w:id="8">
    <w:p w14:paraId="25E1A892" w14:textId="16D376B1" w:rsidR="00CE559A" w:rsidRDefault="00CE559A" w:rsidP="00CE559A">
      <w:pPr>
        <w:pStyle w:val="FootnoteText"/>
      </w:pPr>
      <w:r>
        <w:rPr>
          <w:rStyle w:val="FootnoteReference"/>
        </w:rPr>
        <w:footnoteRef/>
      </w:r>
      <w:r>
        <w:t xml:space="preserve"> </w:t>
      </w:r>
      <w:hyperlink r:id="rId4" w:history="1">
        <w:r w:rsidRPr="001C1191">
          <w:rPr>
            <w:rStyle w:val="Hyperlink"/>
          </w:rPr>
          <w:t>F</w:t>
        </w:r>
        <w:r w:rsidR="001C1191" w:rsidRPr="001C1191">
          <w:rPr>
            <w:rStyle w:val="Hyperlink"/>
          </w:rPr>
          <w:t xml:space="preserve">ind </w:t>
        </w:r>
        <w:r w:rsidRPr="001C1191">
          <w:rPr>
            <w:rStyle w:val="Hyperlink"/>
          </w:rPr>
          <w:t>more detail on energy-only offers</w:t>
        </w:r>
      </w:hyperlink>
    </w:p>
  </w:footnote>
  <w:footnote w:id="9">
    <w:p w14:paraId="672CCF3F" w14:textId="24F1155E" w:rsidR="007116D8" w:rsidRDefault="007116D8">
      <w:pPr>
        <w:pStyle w:val="FootnoteText"/>
      </w:pPr>
      <w:r>
        <w:rPr>
          <w:rStyle w:val="FootnoteReference"/>
        </w:rPr>
        <w:footnoteRef/>
      </w:r>
      <w:r>
        <w:t xml:space="preserve"> </w:t>
      </w:r>
      <w:r w:rsidR="001C1191">
        <w:t xml:space="preserve">Read the </w:t>
      </w:r>
      <w:hyperlink r:id="rId5" w:history="1">
        <w:r w:rsidR="001C1191" w:rsidRPr="001C1191">
          <w:rPr>
            <w:rStyle w:val="Hyperlink"/>
          </w:rPr>
          <w:t>Retail Exempt Selling Guideline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7771" w14:textId="7C56D9D3" w:rsidR="00B861B4" w:rsidRDefault="006712B7" w:rsidP="006712B7">
    <w:pPr>
      <w:pStyle w:val="Header"/>
    </w:pPr>
    <w:r>
      <w:t xml:space="preserve">Default Market Offer Post-review </w:t>
    </w:r>
    <w:proofErr w:type="gramStart"/>
    <w:r>
      <w:t>consultation</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C3F4" w14:textId="00A67B8E" w:rsidR="00B861B4" w:rsidRDefault="00D60B6F">
    <w:pPr>
      <w:pStyle w:val="Header"/>
      <w:jc w:val="left"/>
    </w:pPr>
    <w:r>
      <w:rPr>
        <w:noProof/>
        <w:lang w:eastAsia="en-AU"/>
      </w:rPr>
      <w:drawing>
        <wp:inline distT="0" distB="0" distL="0" distR="0" wp14:anchorId="544DF6A1" wp14:editId="4DFB52EF">
          <wp:extent cx="3224791" cy="676657"/>
          <wp:effectExtent l="0" t="0" r="0" b="9525"/>
          <wp:docPr id="9" name="Picture 9"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3224791" cy="676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4D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B0A1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75AEA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5F295C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942B88"/>
    <w:multiLevelType w:val="hybridMultilevel"/>
    <w:tmpl w:val="5574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BD271F"/>
    <w:multiLevelType w:val="hybridMultilevel"/>
    <w:tmpl w:val="1A14D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DD5743A"/>
    <w:multiLevelType w:val="hybridMultilevel"/>
    <w:tmpl w:val="2BAE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F96D12"/>
    <w:multiLevelType w:val="hybridMultilevel"/>
    <w:tmpl w:val="2FFAF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4D4A21"/>
    <w:multiLevelType w:val="hybridMultilevel"/>
    <w:tmpl w:val="4AAC3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B817DA3"/>
    <w:multiLevelType w:val="hybridMultilevel"/>
    <w:tmpl w:val="48D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F5D16"/>
    <w:multiLevelType w:val="hybridMultilevel"/>
    <w:tmpl w:val="C0D4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F4729"/>
    <w:multiLevelType w:val="multilevel"/>
    <w:tmpl w:val="A0241B28"/>
    <w:numStyleLink w:val="List1"/>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A3402A"/>
    <w:multiLevelType w:val="hybridMultilevel"/>
    <w:tmpl w:val="BA18D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33934B7"/>
    <w:multiLevelType w:val="multilevel"/>
    <w:tmpl w:val="A0241B28"/>
    <w:numStyleLink w:val="List1"/>
  </w:abstractNum>
  <w:num w:numId="1" w16cid:durableId="637031833">
    <w:abstractNumId w:val="6"/>
  </w:num>
  <w:num w:numId="2" w16cid:durableId="513108612">
    <w:abstractNumId w:val="24"/>
  </w:num>
  <w:num w:numId="3" w16cid:durableId="774516596">
    <w:abstractNumId w:val="25"/>
  </w:num>
  <w:num w:numId="4" w16cid:durableId="311757663">
    <w:abstractNumId w:val="11"/>
  </w:num>
  <w:num w:numId="5" w16cid:durableId="923993530">
    <w:abstractNumId w:val="33"/>
  </w:num>
  <w:num w:numId="6" w16cid:durableId="1582594599">
    <w:abstractNumId w:val="34"/>
  </w:num>
  <w:num w:numId="7" w16cid:durableId="300305979">
    <w:abstractNumId w:val="8"/>
  </w:num>
  <w:num w:numId="8" w16cid:durableId="1501509714">
    <w:abstractNumId w:val="14"/>
  </w:num>
  <w:num w:numId="9" w16cid:durableId="1676683740">
    <w:abstractNumId w:val="20"/>
    <w:lvlOverride w:ilvl="0">
      <w:lvl w:ilvl="0">
        <w:start w:val="1"/>
        <w:numFmt w:val="decimal"/>
        <w:pStyle w:val="Heading2"/>
        <w:lvlText w:val="%1"/>
        <w:lvlJc w:val="left"/>
        <w:pPr>
          <w:ind w:left="720" w:hanging="720"/>
        </w:pPr>
      </w:lvl>
    </w:lvlOverride>
  </w:num>
  <w:num w:numId="10" w16cid:durableId="184558659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770887">
    <w:abstractNumId w:val="5"/>
  </w:num>
  <w:num w:numId="12" w16cid:durableId="1380282863">
    <w:abstractNumId w:val="4"/>
  </w:num>
  <w:num w:numId="13" w16cid:durableId="2064524641">
    <w:abstractNumId w:val="3"/>
  </w:num>
  <w:num w:numId="14" w16cid:durableId="649090963">
    <w:abstractNumId w:val="2"/>
  </w:num>
  <w:num w:numId="15" w16cid:durableId="1528250439">
    <w:abstractNumId w:val="12"/>
  </w:num>
  <w:num w:numId="16" w16cid:durableId="1251498854">
    <w:abstractNumId w:val="31"/>
  </w:num>
  <w:num w:numId="17" w16cid:durableId="1194534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714375">
    <w:abstractNumId w:val="35"/>
  </w:num>
  <w:num w:numId="19" w16cid:durableId="79183905">
    <w:abstractNumId w:val="1"/>
  </w:num>
  <w:num w:numId="20" w16cid:durableId="1242713715">
    <w:abstractNumId w:val="0"/>
  </w:num>
  <w:num w:numId="21" w16cid:durableId="1322587014">
    <w:abstractNumId w:val="16"/>
  </w:num>
  <w:num w:numId="22" w16cid:durableId="1077828023">
    <w:abstractNumId w:val="26"/>
  </w:num>
  <w:num w:numId="23" w16cid:durableId="55322943">
    <w:abstractNumId w:val="36"/>
  </w:num>
  <w:num w:numId="24" w16cid:durableId="230704161">
    <w:abstractNumId w:val="13"/>
  </w:num>
  <w:num w:numId="25" w16cid:durableId="35857000">
    <w:abstractNumId w:val="23"/>
  </w:num>
  <w:num w:numId="26" w16cid:durableId="1441217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3203596">
    <w:abstractNumId w:val="37"/>
  </w:num>
  <w:num w:numId="28" w16cid:durableId="1288270850">
    <w:abstractNumId w:val="28"/>
  </w:num>
  <w:num w:numId="29" w16cid:durableId="1379476995">
    <w:abstractNumId w:val="32"/>
  </w:num>
  <w:num w:numId="30" w16cid:durableId="1684237379">
    <w:abstractNumId w:val="10"/>
  </w:num>
  <w:num w:numId="31" w16cid:durableId="1042439448">
    <w:abstractNumId w:val="9"/>
  </w:num>
  <w:num w:numId="32" w16cid:durableId="547112271">
    <w:abstractNumId w:val="9"/>
  </w:num>
  <w:num w:numId="33" w16cid:durableId="657462121">
    <w:abstractNumId w:val="27"/>
  </w:num>
  <w:num w:numId="34" w16cid:durableId="50269795">
    <w:abstractNumId w:val="30"/>
  </w:num>
  <w:num w:numId="35" w16cid:durableId="422070654">
    <w:abstractNumId w:val="15"/>
  </w:num>
  <w:num w:numId="36" w16cid:durableId="2113040488">
    <w:abstractNumId w:val="18"/>
  </w:num>
  <w:num w:numId="37" w16cid:durableId="1186210021">
    <w:abstractNumId w:val="7"/>
  </w:num>
  <w:num w:numId="38" w16cid:durableId="1151872731">
    <w:abstractNumId w:val="20"/>
    <w:lvlOverride w:ilvl="0">
      <w:lvl w:ilvl="0">
        <w:start w:val="1"/>
        <w:numFmt w:val="decimal"/>
        <w:pStyle w:val="Heading2"/>
        <w:lvlText w:val="%1"/>
        <w:lvlJc w:val="left"/>
        <w:pPr>
          <w:ind w:left="720" w:hanging="720"/>
        </w:pPr>
      </w:lvl>
    </w:lvlOverride>
  </w:num>
  <w:num w:numId="39" w16cid:durableId="322779258">
    <w:abstractNumId w:val="20"/>
    <w:lvlOverride w:ilvl="0">
      <w:lvl w:ilvl="0">
        <w:start w:val="1"/>
        <w:numFmt w:val="decimal"/>
        <w:pStyle w:val="Heading2"/>
        <w:lvlText w:val="%1"/>
        <w:lvlJc w:val="left"/>
        <w:pPr>
          <w:ind w:left="720" w:hanging="720"/>
        </w:pPr>
      </w:lvl>
    </w:lvlOverride>
  </w:num>
  <w:num w:numId="40" w16cid:durableId="385564865">
    <w:abstractNumId w:val="29"/>
  </w:num>
  <w:num w:numId="41" w16cid:durableId="301543123">
    <w:abstractNumId w:val="21"/>
  </w:num>
  <w:num w:numId="42" w16cid:durableId="229972173">
    <w:abstractNumId w:val="22"/>
  </w:num>
  <w:num w:numId="43" w16cid:durableId="1926525202">
    <w:abstractNumId w:val="19"/>
  </w:num>
  <w:num w:numId="44" w16cid:durableId="190829749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CE"/>
    <w:rsid w:val="00011C82"/>
    <w:rsid w:val="00016A46"/>
    <w:rsid w:val="000337F3"/>
    <w:rsid w:val="000375BE"/>
    <w:rsid w:val="00043E15"/>
    <w:rsid w:val="000869AB"/>
    <w:rsid w:val="00093353"/>
    <w:rsid w:val="00097FA8"/>
    <w:rsid w:val="000A7AAF"/>
    <w:rsid w:val="000B5AE9"/>
    <w:rsid w:val="000F2194"/>
    <w:rsid w:val="000F5D35"/>
    <w:rsid w:val="000F6022"/>
    <w:rsid w:val="00107522"/>
    <w:rsid w:val="00123033"/>
    <w:rsid w:val="00147EF8"/>
    <w:rsid w:val="00174AB9"/>
    <w:rsid w:val="00176594"/>
    <w:rsid w:val="0017699C"/>
    <w:rsid w:val="00180CBD"/>
    <w:rsid w:val="00183F1D"/>
    <w:rsid w:val="001B4A1A"/>
    <w:rsid w:val="001B766F"/>
    <w:rsid w:val="001C104B"/>
    <w:rsid w:val="001C1191"/>
    <w:rsid w:val="001D3F04"/>
    <w:rsid w:val="001D702C"/>
    <w:rsid w:val="00201F73"/>
    <w:rsid w:val="00222137"/>
    <w:rsid w:val="002341DD"/>
    <w:rsid w:val="00256F58"/>
    <w:rsid w:val="00281BB6"/>
    <w:rsid w:val="00284372"/>
    <w:rsid w:val="00284C5A"/>
    <w:rsid w:val="00284D14"/>
    <w:rsid w:val="00286307"/>
    <w:rsid w:val="00292E43"/>
    <w:rsid w:val="002B4B99"/>
    <w:rsid w:val="002B6F40"/>
    <w:rsid w:val="002B7D67"/>
    <w:rsid w:val="002D5B0A"/>
    <w:rsid w:val="002D6D4A"/>
    <w:rsid w:val="002F05FC"/>
    <w:rsid w:val="002F3117"/>
    <w:rsid w:val="003024BD"/>
    <w:rsid w:val="003214B3"/>
    <w:rsid w:val="00324BD0"/>
    <w:rsid w:val="0032620E"/>
    <w:rsid w:val="00337C5C"/>
    <w:rsid w:val="00341111"/>
    <w:rsid w:val="003537AD"/>
    <w:rsid w:val="0036470C"/>
    <w:rsid w:val="00364A4A"/>
    <w:rsid w:val="00384476"/>
    <w:rsid w:val="003E5016"/>
    <w:rsid w:val="003F5A63"/>
    <w:rsid w:val="00410B27"/>
    <w:rsid w:val="004119A5"/>
    <w:rsid w:val="004322C4"/>
    <w:rsid w:val="00461957"/>
    <w:rsid w:val="0048631F"/>
    <w:rsid w:val="00491E5F"/>
    <w:rsid w:val="004A5105"/>
    <w:rsid w:val="004A7E2B"/>
    <w:rsid w:val="004B1D54"/>
    <w:rsid w:val="004D6E63"/>
    <w:rsid w:val="005043EB"/>
    <w:rsid w:val="00517A68"/>
    <w:rsid w:val="00520026"/>
    <w:rsid w:val="00522BE9"/>
    <w:rsid w:val="00543ECE"/>
    <w:rsid w:val="005603F5"/>
    <w:rsid w:val="0057476A"/>
    <w:rsid w:val="005A7193"/>
    <w:rsid w:val="005D3790"/>
    <w:rsid w:val="005E25BD"/>
    <w:rsid w:val="006138D1"/>
    <w:rsid w:val="00643C78"/>
    <w:rsid w:val="006440A9"/>
    <w:rsid w:val="006712B7"/>
    <w:rsid w:val="00680970"/>
    <w:rsid w:val="006A0B76"/>
    <w:rsid w:val="006B222A"/>
    <w:rsid w:val="006B42C0"/>
    <w:rsid w:val="006C16FF"/>
    <w:rsid w:val="006C261F"/>
    <w:rsid w:val="006C36E2"/>
    <w:rsid w:val="006C5145"/>
    <w:rsid w:val="006D01D1"/>
    <w:rsid w:val="006D2B40"/>
    <w:rsid w:val="006F065B"/>
    <w:rsid w:val="007116D8"/>
    <w:rsid w:val="007225D8"/>
    <w:rsid w:val="00723774"/>
    <w:rsid w:val="0072516C"/>
    <w:rsid w:val="0073259C"/>
    <w:rsid w:val="0074296C"/>
    <w:rsid w:val="00761FCF"/>
    <w:rsid w:val="00764D6A"/>
    <w:rsid w:val="00773056"/>
    <w:rsid w:val="007A5D10"/>
    <w:rsid w:val="007C358A"/>
    <w:rsid w:val="007C3872"/>
    <w:rsid w:val="008101CE"/>
    <w:rsid w:val="00820F04"/>
    <w:rsid w:val="00842195"/>
    <w:rsid w:val="0084299F"/>
    <w:rsid w:val="00843FA1"/>
    <w:rsid w:val="00871CE7"/>
    <w:rsid w:val="00884E3A"/>
    <w:rsid w:val="00892CC1"/>
    <w:rsid w:val="008A0EE3"/>
    <w:rsid w:val="008B3761"/>
    <w:rsid w:val="008C58A7"/>
    <w:rsid w:val="008D619B"/>
    <w:rsid w:val="008E2377"/>
    <w:rsid w:val="008E4DA7"/>
    <w:rsid w:val="00904225"/>
    <w:rsid w:val="00923CC9"/>
    <w:rsid w:val="0093673C"/>
    <w:rsid w:val="00946A37"/>
    <w:rsid w:val="009A0C13"/>
    <w:rsid w:val="009A2DF6"/>
    <w:rsid w:val="009D5007"/>
    <w:rsid w:val="009E2823"/>
    <w:rsid w:val="009F45BC"/>
    <w:rsid w:val="009F5BD4"/>
    <w:rsid w:val="00A24770"/>
    <w:rsid w:val="00A32CE8"/>
    <w:rsid w:val="00A45DFA"/>
    <w:rsid w:val="00A532E4"/>
    <w:rsid w:val="00A53BC3"/>
    <w:rsid w:val="00A64ADF"/>
    <w:rsid w:val="00A91307"/>
    <w:rsid w:val="00AA3413"/>
    <w:rsid w:val="00AB7911"/>
    <w:rsid w:val="00AC35F5"/>
    <w:rsid w:val="00AE4237"/>
    <w:rsid w:val="00B01F01"/>
    <w:rsid w:val="00B02B9B"/>
    <w:rsid w:val="00B14676"/>
    <w:rsid w:val="00B5706B"/>
    <w:rsid w:val="00B5740E"/>
    <w:rsid w:val="00B840B6"/>
    <w:rsid w:val="00B84485"/>
    <w:rsid w:val="00B861B4"/>
    <w:rsid w:val="00B97E61"/>
    <w:rsid w:val="00BC1616"/>
    <w:rsid w:val="00BE561A"/>
    <w:rsid w:val="00BF27D7"/>
    <w:rsid w:val="00BF4E55"/>
    <w:rsid w:val="00BF7FA5"/>
    <w:rsid w:val="00C003C5"/>
    <w:rsid w:val="00C02519"/>
    <w:rsid w:val="00C12ACE"/>
    <w:rsid w:val="00C33358"/>
    <w:rsid w:val="00C416EC"/>
    <w:rsid w:val="00C85C62"/>
    <w:rsid w:val="00C903C4"/>
    <w:rsid w:val="00C9451C"/>
    <w:rsid w:val="00CB152E"/>
    <w:rsid w:val="00CB2439"/>
    <w:rsid w:val="00CB2B84"/>
    <w:rsid w:val="00CB5D48"/>
    <w:rsid w:val="00CE4AF7"/>
    <w:rsid w:val="00CE559A"/>
    <w:rsid w:val="00CF4F5E"/>
    <w:rsid w:val="00D03308"/>
    <w:rsid w:val="00D07F7D"/>
    <w:rsid w:val="00D1032B"/>
    <w:rsid w:val="00D3028D"/>
    <w:rsid w:val="00D302B3"/>
    <w:rsid w:val="00D47121"/>
    <w:rsid w:val="00D50B2D"/>
    <w:rsid w:val="00D51752"/>
    <w:rsid w:val="00D578EB"/>
    <w:rsid w:val="00D60B6F"/>
    <w:rsid w:val="00D65CD1"/>
    <w:rsid w:val="00D6626A"/>
    <w:rsid w:val="00D86640"/>
    <w:rsid w:val="00DA5902"/>
    <w:rsid w:val="00DA71B8"/>
    <w:rsid w:val="00DC0D9B"/>
    <w:rsid w:val="00DC4730"/>
    <w:rsid w:val="00DC4CEF"/>
    <w:rsid w:val="00DE0AAE"/>
    <w:rsid w:val="00DE4AFB"/>
    <w:rsid w:val="00DF01A1"/>
    <w:rsid w:val="00DF5279"/>
    <w:rsid w:val="00DF79C5"/>
    <w:rsid w:val="00E16CCB"/>
    <w:rsid w:val="00E20810"/>
    <w:rsid w:val="00E83724"/>
    <w:rsid w:val="00E875C0"/>
    <w:rsid w:val="00E91D72"/>
    <w:rsid w:val="00EC0560"/>
    <w:rsid w:val="00EC3A3F"/>
    <w:rsid w:val="00EC40D3"/>
    <w:rsid w:val="00ED63BA"/>
    <w:rsid w:val="00EE3D5B"/>
    <w:rsid w:val="00EE4833"/>
    <w:rsid w:val="00EF55CC"/>
    <w:rsid w:val="00F04729"/>
    <w:rsid w:val="00F12BA1"/>
    <w:rsid w:val="00F41AC9"/>
    <w:rsid w:val="00F448C4"/>
    <w:rsid w:val="00F4685F"/>
    <w:rsid w:val="00F53EC5"/>
    <w:rsid w:val="00F629E3"/>
    <w:rsid w:val="00F82F27"/>
    <w:rsid w:val="00F87609"/>
    <w:rsid w:val="00F93A7C"/>
    <w:rsid w:val="00FA2743"/>
    <w:rsid w:val="00FC1759"/>
    <w:rsid w:val="00FD2579"/>
    <w:rsid w:val="00FE1A59"/>
    <w:rsid w:val="00FE274C"/>
    <w:rsid w:val="00FE64BC"/>
    <w:rsid w:val="00FF47E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D06A5"/>
  <w15:docId w15:val="{95B76AE9-36B9-4884-B183-ED742DB8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CB2439"/>
    <w:pPr>
      <w:pageBreakBefore/>
      <w:numPr>
        <w:numId w:val="9"/>
      </w:num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CB2439"/>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DF01A1"/>
    <w:pPr>
      <w:spacing w:before="120"/>
    </w:pPr>
    <w:rPr>
      <w:b w:val="0"/>
      <w:sz w:val="56"/>
      <w:szCs w:val="56"/>
    </w:rPr>
  </w:style>
  <w:style w:type="character" w:customStyle="1" w:styleId="SubtitleChar">
    <w:name w:val="Subtitle Char"/>
    <w:basedOn w:val="DefaultParagraphFont"/>
    <w:link w:val="Subtitle"/>
    <w:uiPriority w:val="11"/>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5"/>
      </w:numPr>
      <w:spacing w:before="120" w:after="120"/>
      <w:contextualSpacing/>
    </w:pPr>
  </w:style>
  <w:style w:type="paragraph" w:styleId="ListNumber">
    <w:name w:val="List Number"/>
    <w:basedOn w:val="Normal"/>
    <w:uiPriority w:val="9"/>
    <w:qFormat/>
    <w:rsid w:val="00123033"/>
    <w:pPr>
      <w:numPr>
        <w:numId w:val="24"/>
      </w:numPr>
      <w:tabs>
        <w:tab w:val="left" w:pos="142"/>
      </w:tabs>
      <w:spacing w:before="120" w:after="120"/>
    </w:pPr>
  </w:style>
  <w:style w:type="paragraph" w:styleId="ListNumber2">
    <w:name w:val="List Number 2"/>
    <w:uiPriority w:val="10"/>
    <w:qFormat/>
    <w:rsid w:val="00884E3A"/>
    <w:pPr>
      <w:numPr>
        <w:ilvl w:val="1"/>
        <w:numId w:val="24"/>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24"/>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16"/>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 w:type="paragraph" w:customStyle="1" w:styleId="NormalRec">
    <w:name w:val="NormalRec"/>
    <w:basedOn w:val="Normal"/>
    <w:qFormat/>
    <w:rsid w:val="006712B7"/>
    <w:pPr>
      <w:pBdr>
        <w:top w:val="single" w:sz="4" w:space="1" w:color="auto"/>
        <w:left w:val="single" w:sz="4" w:space="4" w:color="auto"/>
        <w:bottom w:val="single" w:sz="4" w:space="1" w:color="auto"/>
        <w:right w:val="single" w:sz="4" w:space="4" w:color="auto"/>
      </w:pBdr>
      <w:shd w:val="clear" w:color="auto" w:fill="92CDDC" w:themeFill="accent5" w:themeFillTint="99"/>
      <w:spacing w:after="160" w:line="259" w:lineRule="auto"/>
    </w:pPr>
  </w:style>
  <w:style w:type="character" w:customStyle="1" w:styleId="UnresolvedMention2">
    <w:name w:val="Unresolved Mention2"/>
    <w:basedOn w:val="DefaultParagraphFont"/>
    <w:uiPriority w:val="99"/>
    <w:semiHidden/>
    <w:unhideWhenUsed/>
    <w:rsid w:val="009A2DF6"/>
    <w:rPr>
      <w:color w:val="605E5C"/>
      <w:shd w:val="clear" w:color="auto" w:fill="E1DFDD"/>
    </w:rPr>
  </w:style>
  <w:style w:type="paragraph" w:styleId="Revision">
    <w:name w:val="Revision"/>
    <w:hidden/>
    <w:uiPriority w:val="99"/>
    <w:semiHidden/>
    <w:rsid w:val="006B42C0"/>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F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energy.gov.au/government-priorities/energy-programs/price-safety-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lectricitycode@dcceew.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prod.protected.ind/user/User10/vv5770/Desktop/2022%2011%20DMO%20Post%20Review%20Consultation2.docx" TargetMode="External"/><Relationship Id="rId25" Type="http://schemas.openxmlformats.org/officeDocument/2006/relationships/hyperlink" Target="https://www.accc.gov.au/system/files/BIT%20Final%20report%20-%20Testing%20comprehension%20of%20the%20reference%20price.pdf" TargetMode="External"/><Relationship Id="rId2" Type="http://schemas.openxmlformats.org/officeDocument/2006/relationships/customXml" Target="../customXml/item2.xml"/><Relationship Id="rId16" Type="http://schemas.openxmlformats.org/officeDocument/2006/relationships/hyperlink" Target="https://www.dcceew.gov.au" TargetMode="External"/><Relationship Id="rId20" Type="http://schemas.openxmlformats.org/officeDocument/2006/relationships/hyperlink" Target="https://www.dcceew.gov.au/about/commitment/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er.gov.au/system/files/AER%20Retail%20Pricing%20Information%20Guidelines%20-%20Version%205.0%20-%20April%202018.pdf"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legislation.gov.au/Series/F2019L0053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consult.dcceew.gov.au/review-of-dmo-and-reference-pr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dcceew.gov.au"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nsw.gov.au/ladocs/inquiries/2873/Report%20-%20Embedded%20Networks%20in%20New%20South%20Wales.pdf" TargetMode="External"/><Relationship Id="rId2" Type="http://schemas.openxmlformats.org/officeDocument/2006/relationships/hyperlink" Target="https://www.aer.gov.au/retail-markets/authorisations/public-register-of-authorised-retailers-authorisation-applications" TargetMode="External"/><Relationship Id="rId1" Type="http://schemas.openxmlformats.org/officeDocument/2006/relationships/hyperlink" Target="https://www.aer.gov.au/system/files/AER%20-%20Default%20market%20offer%20-%20Price%20determination%202023-24%20issues%20paper%20-%203%20November%202022_0.pdf" TargetMode="External"/><Relationship Id="rId5" Type="http://schemas.openxmlformats.org/officeDocument/2006/relationships/hyperlink" Target="https://www.aer.gov.au/system/files/AER%20-%20Final%20Retail%20Exempt%20Selling%20Guideline%20%28version%206%29.pdf" TargetMode="External"/><Relationship Id="rId4" Type="http://schemas.openxmlformats.org/officeDocument/2006/relationships/hyperlink" Target="file:///C:\Users\fm0001\AppData\Local\Microsoft\Windows\INetCache\Content.Outlook\ZTIC5D50\see%20https:\www.aer.gov.au\consumers\consumers-in-embedded-networ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0001\OneDrive%20-%20Agriculture\Documents\DCCEEW-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3DADE5B2B7F2DF42871B78DBA44CE363" ma:contentTypeVersion="22" ma:contentTypeDescription="Create a new document." ma:contentTypeScope="" ma:versionID="0cb450bc9b6940e2d0a458438461adb2">
  <xsd:schema xmlns:xsd="http://www.w3.org/2001/XMLSchema" xmlns:xs="http://www.w3.org/2001/XMLSchema" xmlns:p="http://schemas.microsoft.com/office/2006/metadata/properties" xmlns:ns1="http://schemas.microsoft.com/sharepoint/v3" xmlns:ns2="75e01f56-7b81-4514-8994-c80bb4ec94fc" xmlns:ns3="b607d1c6-0cb7-4682-894b-7ec85b3b05c6" xmlns:ns4="http://schemas.microsoft.com/sharepoint/v4" targetNamespace="http://schemas.microsoft.com/office/2006/metadata/properties" ma:root="true" ma:fieldsID="27868a97c2eb92ee71b9a20713257243" ns1:_="" ns2:_="" ns3:_="" ns4:_="">
    <xsd:import namespace="http://schemas.microsoft.com/sharepoint/v3"/>
    <xsd:import namespace="75e01f56-7b81-4514-8994-c80bb4ec94fc"/>
    <xsd:import namespace="b607d1c6-0cb7-4682-894b-7ec85b3b05c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MeetingDate" minOccurs="0"/>
                <xsd:element ref="ns3:eba65813086b40f9afcee9f849dcc12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1f56-7b81-4514-8994-c80bb4ec94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4303ec4-fa4d-4aba-b07c-0dfa74773820}" ma:internalName="TaxCatchAll" ma:showField="CatchAllData" ma:web="b607d1c6-0cb7-4682-894b-7ec85b3b05c6">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03fb540-4f4c-43fd-9354-4e074a5f743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5"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07d1c6-0cb7-4682-894b-7ec85b3b05c6" elementFormDefault="qualified">
    <xsd:import namespace="http://schemas.microsoft.com/office/2006/documentManagement/types"/>
    <xsd:import namespace="http://schemas.microsoft.com/office/infopath/2007/PartnerControls"/>
    <xsd:element name="eba65813086b40f9afcee9f849dcc12a" ma:index="27" nillable="true" ma:taxonomy="true" ma:internalName="eba65813086b40f9afcee9f849dcc12a" ma:taxonomyFieldName="DocHub_Section" ma:displayName="Section" ma:indexed="true" ma:fieldId="{eba65813-086b-40f9-afce-e9f849dcc12a}" ma:sspId="fb0313f7-9433-48c0-866e-9e0bbee59a50" ma:termSetId="f44b6b2f-9ef3-4cec-8b37-cae5f2e9e38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75e01f56-7b81-4514-8994-c80bb4ec94fc">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a71acb41-5483-4112-89f1-43febcdc5f07</TermId>
        </TermInfo>
      </Terms>
    </pe2555c81638466f9eb614edb9ecde52>
    <DocHub_MeetingDate xmlns="75e01f56-7b81-4514-8994-c80bb4ec94fc" xsi:nil="true"/>
    <TaxCatchAll xmlns="75e01f56-7b81-4514-8994-c80bb4ec94fc">
      <Value>100</Value>
      <Value>619</Value>
      <Value>1084</Value>
      <Value>161</Value>
      <Value>1503</Value>
      <Value>6</Value>
    </TaxCatchAll>
    <g7bcb40ba23249a78edca7d43a67c1c9 xmlns="75e01f56-7b81-4514-8994-c80bb4ec94fc">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fb51ee50-3149-4bd9-89ce-8613c76e7a2f</TermId>
        </TermInfo>
      </Terms>
    </g7bcb40ba23249a78edca7d43a67c1c9>
    <aa25a1a23adf4c92a153145de6afe324 xmlns="75e01f56-7b81-4514-8994-c80bb4ec94f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eba65813086b40f9afcee9f849dcc12a xmlns="b607d1c6-0cb7-4682-894b-7ec85b3b05c6">
      <Terms xmlns="http://schemas.microsoft.com/office/infopath/2007/PartnerControls">
        <TermInfo xmlns="http://schemas.microsoft.com/office/infopath/2007/PartnerControls">
          <TermName xmlns="http://schemas.microsoft.com/office/infopath/2007/PartnerControls">Retail ＆ Competitve Markets</TermName>
          <TermId xmlns="http://schemas.microsoft.com/office/infopath/2007/PartnerControls">52b34380-bb23-4962-8be6-a0b6b1e3e210</TermId>
        </TermInfo>
      </Terms>
    </eba65813086b40f9afcee9f849dcc12a>
    <IconOverlay xmlns="http://schemas.microsoft.com/sharepoint/v4" xsi:nil="true"/>
    <adb9bed2e36e4a93af574aeb444da63e xmlns="75e01f56-7b81-4514-8994-c80bb4ec94fc">
      <Terms xmlns="http://schemas.microsoft.com/office/infopath/2007/PartnerControls">
        <TermInfo xmlns="http://schemas.microsoft.com/office/infopath/2007/PartnerControls">
          <TermName xmlns="http://schemas.microsoft.com/office/infopath/2007/PartnerControls">DMO</TermName>
          <TermId xmlns="http://schemas.microsoft.com/office/infopath/2007/PartnerControls">9bbfdbbb-2632-427b-baf9-b57d4ff99992</TermId>
        </TermInfo>
      </Terms>
    </adb9bed2e36e4a93af574aeb444da63e>
    <n99e4c9942c6404eb103464a00e6097b xmlns="75e01f56-7b81-4514-8994-c80bb4ec94f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32C7C-8DE0-46A8-9B48-C04E80D7D483}">
  <ds:schemaRefs>
    <ds:schemaRef ds:uri="http://schemas.openxmlformats.org/officeDocument/2006/bibliography"/>
  </ds:schemaRefs>
</ds:datastoreItem>
</file>

<file path=customXml/itemProps2.xml><?xml version="1.0" encoding="utf-8"?>
<ds:datastoreItem xmlns:ds="http://schemas.openxmlformats.org/officeDocument/2006/customXml" ds:itemID="{5A3A77D2-8A3F-4670-8C41-1825F81EB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01f56-7b81-4514-8994-c80bb4ec94fc"/>
    <ds:schemaRef ds:uri="b607d1c6-0cb7-4682-894b-7ec85b3b05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3E504-991B-400F-A01C-93A6E6400463}">
  <ds:schemaRefs>
    <ds:schemaRef ds:uri="http://schemas.microsoft.com/sharepoint/event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5e01f56-7b81-4514-8994-c80bb4ec94fc"/>
    <ds:schemaRef ds:uri="b607d1c6-0cb7-4682-894b-7ec85b3b05c6"/>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DCCEEW-Report-template.dotx</Template>
  <TotalTime>2</TotalTime>
  <Pages>12</Pages>
  <Words>3018</Words>
  <Characters>17147</Characters>
  <Application>Microsoft Office Word</Application>
  <DocSecurity>0</DocSecurity>
  <Lines>317</Lines>
  <Paragraphs>168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19997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Vilkaitis, Vyt</dc:creator>
  <cp:lastModifiedBy>Mongan, Fleur</cp:lastModifiedBy>
  <cp:revision>3</cp:revision>
  <cp:lastPrinted>2023-03-23T23:13:00Z</cp:lastPrinted>
  <dcterms:created xsi:type="dcterms:W3CDTF">2023-03-23T23:12:00Z</dcterms:created>
  <dcterms:modified xsi:type="dcterms:W3CDTF">2023-03-23T23:13:00Z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0x0101003DADE5B2B7F2DF42871B78DBA44CE363</vt:lpwstr>
  </property>
  <property fmtid="{D5CDD505-2E9C-101B-9397-08002B2CF9AE}" pid="3" name="DocHub_Year">
    <vt:lpwstr>1084;#2022|4a777a70-2aa9-481e-a746-cca47d761c8e</vt:lpwstr>
  </property>
  <property fmtid="{D5CDD505-2E9C-101B-9397-08002B2CF9AE}" pid="4" name="DocHub_Section">
    <vt:lpwstr>619;#Retail ＆ Competitve Markets|52b34380-bb23-4962-8be6-a0b6b1e3e210</vt:lpwstr>
  </property>
  <property fmtid="{D5CDD505-2E9C-101B-9397-08002B2CF9AE}" pid="5" name="DocHub_DocumentType">
    <vt:lpwstr>161;#Policy|a71acb41-5483-4112-89f1-43febcdc5f07</vt:lpwstr>
  </property>
  <property fmtid="{D5CDD505-2E9C-101B-9397-08002B2CF9AE}" pid="6" name="DocHub_SecurityClassification">
    <vt:lpwstr>6;#OFFICIAL|6106d03b-a1a0-4e30-9d91-d5e9fb4314f9</vt:lpwstr>
  </property>
  <property fmtid="{D5CDD505-2E9C-101B-9397-08002B2CF9AE}" pid="7" name="DocHub_WorkActivity">
    <vt:lpwstr>100;#Consultation|fb51ee50-3149-4bd9-89ce-8613c76e7a2f</vt:lpwstr>
  </property>
  <property fmtid="{D5CDD505-2E9C-101B-9397-08002B2CF9AE}" pid="8" name="DocHub_Keywords">
    <vt:lpwstr>1503;#DMO|9bbfdbbb-2632-427b-baf9-b57d4ff99992</vt:lpwstr>
  </property>
</Properties>
</file>